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6C" w:rsidRDefault="0068706C" w:rsidP="00493384">
      <w:pPr>
        <w:pStyle w:val="NormalWeb"/>
        <w:spacing w:before="115" w:beforeAutospacing="0" w:after="0" w:afterAutospacing="0" w:line="480" w:lineRule="auto"/>
        <w:textAlignment w:val="baseline"/>
        <w:rPr>
          <w:rFonts w:eastAsia="ヒラギノ角ゴ Pro W3"/>
        </w:rPr>
      </w:pPr>
      <w:bookmarkStart w:id="0" w:name="_GoBack"/>
      <w:bookmarkEnd w:id="0"/>
      <w:r w:rsidRPr="00493384">
        <w:rPr>
          <w:rFonts w:eastAsia="ヒラギノ角ゴ Pro W3"/>
        </w:rPr>
        <w:t xml:space="preserve">Tucker, L. R, &amp; Lewis, C. (1973). A reliability coefficient for maximum likelihood factor analysis. </w:t>
      </w:r>
      <w:r w:rsidRPr="00493384">
        <w:rPr>
          <w:rFonts w:eastAsia="ヒラギノ角ゴ Pro W3"/>
          <w:i/>
          <w:iCs/>
        </w:rPr>
        <w:t>Psychometrika</w:t>
      </w:r>
      <w:r w:rsidRPr="00493384">
        <w:rPr>
          <w:rFonts w:eastAsia="ヒラギノ角ゴ Pro W3"/>
        </w:rPr>
        <w:t xml:space="preserve">, </w:t>
      </w:r>
      <w:r w:rsidRPr="00493384">
        <w:rPr>
          <w:rFonts w:eastAsia="ヒラギノ角ゴ Pro W3"/>
          <w:i/>
          <w:iCs/>
        </w:rPr>
        <w:t>38</w:t>
      </w:r>
      <w:r w:rsidR="00373DB6">
        <w:rPr>
          <w:rFonts w:eastAsia="ヒラギノ角ゴ Pro W3"/>
        </w:rPr>
        <w:t>, 1-10 (3,787 citations in Google Scholar as of 1/1/16).</w:t>
      </w:r>
    </w:p>
    <w:p w:rsidR="00452F92" w:rsidRPr="00493384" w:rsidRDefault="00452F92" w:rsidP="00452F92">
      <w:pPr>
        <w:pStyle w:val="NormalWeb"/>
        <w:spacing w:before="115" w:beforeAutospacing="0" w:after="0" w:afterAutospacing="0" w:line="480" w:lineRule="auto"/>
        <w:jc w:val="center"/>
        <w:textAlignment w:val="baseline"/>
      </w:pPr>
      <w:r>
        <w:rPr>
          <w:rFonts w:eastAsia="ヒラギノ角ゴ Pro W3"/>
        </w:rPr>
        <w:t>Charles Lewis</w:t>
      </w:r>
    </w:p>
    <w:p w:rsidR="009064FB" w:rsidRDefault="00216C91" w:rsidP="00BF4E5E">
      <w:pPr>
        <w:pStyle w:val="NormalWeb"/>
        <w:spacing w:before="115" w:beforeAutospacing="0" w:after="0" w:afterAutospacing="0" w:line="480" w:lineRule="auto"/>
        <w:textAlignment w:val="baseline"/>
      </w:pPr>
      <w:r>
        <w:t xml:space="preserve">Ledyard R Tucker’s most frequently cited </w:t>
      </w:r>
      <w:r w:rsidR="00D2324E">
        <w:t xml:space="preserve">scientific </w:t>
      </w:r>
      <w:r>
        <w:t xml:space="preserve">article, and one of the most frequently cited </w:t>
      </w:r>
      <w:r w:rsidRPr="00A32AF3">
        <w:rPr>
          <w:i/>
        </w:rPr>
        <w:t>Psychometrika</w:t>
      </w:r>
      <w:r>
        <w:t xml:space="preserve"> articles, is the </w:t>
      </w:r>
      <w:r w:rsidR="00BA68C2">
        <w:t>paper</w:t>
      </w:r>
      <w:r>
        <w:t xml:space="preserve"> he and I wrote</w:t>
      </w:r>
      <w:r w:rsidR="00150155">
        <w:t xml:space="preserve"> in 1973 that proposed</w:t>
      </w:r>
      <w:r>
        <w:t xml:space="preserve"> a goodness of fit index for factor analysis. This index (</w:t>
      </w:r>
      <w:r w:rsidR="00FD0691">
        <w:t>and important generalizations introduced by</w:t>
      </w:r>
      <w:r w:rsidR="00FD0691" w:rsidRPr="00FD0691">
        <w:t xml:space="preserve"> </w:t>
      </w:r>
      <w:r w:rsidR="00FD0691">
        <w:t>Bentler &amp; Bonett, 1980</w:t>
      </w:r>
      <w:r>
        <w:t>) is currently referred to as the Non-Normed Fit Index (NNFI) or the Tucker-Lewis Index (TLI).</w:t>
      </w:r>
      <w:r w:rsidR="00A32AF3">
        <w:t xml:space="preserve"> Presumably, </w:t>
      </w:r>
      <w:r w:rsidR="00907118">
        <w:t>the large number of citations of</w:t>
      </w:r>
      <w:r w:rsidR="00D2324E">
        <w:t xml:space="preserve"> our article was influenced by </w:t>
      </w:r>
      <w:r w:rsidR="00907118">
        <w:t xml:space="preserve">the appearance of </w:t>
      </w:r>
      <w:r w:rsidR="00D2324E">
        <w:t>subsequent publications</w:t>
      </w:r>
      <w:r w:rsidR="00907118">
        <w:t xml:space="preserve"> (especially those of Peter Bentler and his colleagues)</w:t>
      </w:r>
      <w:r w:rsidR="00D2324E">
        <w:t xml:space="preserve"> that generalized our work and evaluated its usefulness in a variety of settings.</w:t>
      </w:r>
      <w:r w:rsidR="00BF4E5E">
        <w:t xml:space="preserve"> </w:t>
      </w:r>
      <w:r w:rsidR="00D2324E">
        <w:t>This research</w:t>
      </w:r>
      <w:r w:rsidR="002D433A">
        <w:t>,</w:t>
      </w:r>
      <w:r w:rsidR="00D2324E">
        <w:t xml:space="preserve"> in turn, presumably </w:t>
      </w:r>
      <w:r w:rsidR="00597F14">
        <w:t>led to</w:t>
      </w:r>
      <w:r w:rsidR="00D2324E">
        <w:t xml:space="preserve"> popular </w:t>
      </w:r>
      <w:r w:rsidR="00597F14">
        <w:t xml:space="preserve">structural equation modeling </w:t>
      </w:r>
      <w:r w:rsidR="00D2324E">
        <w:t>computer programs</w:t>
      </w:r>
      <w:r w:rsidR="00907118">
        <w:t xml:space="preserve"> </w:t>
      </w:r>
      <w:r w:rsidR="00817658">
        <w:t>(such as AMOS, EQS,</w:t>
      </w:r>
      <w:r w:rsidR="00597F14">
        <w:t xml:space="preserve"> LISREL</w:t>
      </w:r>
      <w:r w:rsidR="00817658">
        <w:t xml:space="preserve"> and Mplus</w:t>
      </w:r>
      <w:r w:rsidR="00597F14">
        <w:t>)</w:t>
      </w:r>
      <w:r w:rsidR="00907118">
        <w:t xml:space="preserve"> including a version of the</w:t>
      </w:r>
      <w:r w:rsidR="00D2324E">
        <w:t xml:space="preserve"> index in their output.</w:t>
      </w:r>
      <w:r w:rsidR="00907118">
        <w:t xml:space="preserve"> When a researcher uses one of these programs, includes the index in their published results, and wants to give a source for the index – </w:t>
      </w:r>
      <w:r w:rsidR="00907118" w:rsidRPr="00907118">
        <w:rPr>
          <w:i/>
        </w:rPr>
        <w:t>voil</w:t>
      </w:r>
      <w:r w:rsidR="00CC61AE">
        <w:rPr>
          <w:i/>
        </w:rPr>
        <w:t>à</w:t>
      </w:r>
      <w:r w:rsidR="00FD0691">
        <w:t>! Another citation</w:t>
      </w:r>
      <w:r w:rsidR="009064FB">
        <w:t>.</w:t>
      </w:r>
    </w:p>
    <w:p w:rsidR="0068706C" w:rsidRDefault="00801A8F" w:rsidP="009064FB">
      <w:pPr>
        <w:pStyle w:val="NormalWeb"/>
        <w:spacing w:before="115" w:beforeAutospacing="0" w:after="0" w:afterAutospacing="0" w:line="480" w:lineRule="auto"/>
        <w:ind w:firstLine="720"/>
        <w:textAlignment w:val="baseline"/>
      </w:pPr>
      <w:r>
        <w:t>To see how the numbers of these</w:t>
      </w:r>
      <w:r w:rsidR="00A3632F">
        <w:t xml:space="preserve"> citations </w:t>
      </w:r>
      <w:r w:rsidR="00BF4E5E">
        <w:t xml:space="preserve">have </w:t>
      </w:r>
      <w:r w:rsidR="00A3632F">
        <w:t xml:space="preserve">distributed themselves over the years since our article’s publication, I made </w:t>
      </w:r>
      <w:r w:rsidR="00BF4E5E">
        <w:t>(mis)</w:t>
      </w:r>
      <w:r w:rsidR="00A3632F">
        <w:t>use of Go</w:t>
      </w:r>
      <w:r w:rsidR="009064FB">
        <w:t>ogle Scholar. T</w:t>
      </w:r>
      <w:r w:rsidR="00A3632F">
        <w:t>he results</w:t>
      </w:r>
      <w:r w:rsidR="009064FB">
        <w:t xml:space="preserve"> are summarized</w:t>
      </w:r>
      <w:r w:rsidR="00A3632F">
        <w:t xml:space="preserve"> in Fig. 1.</w:t>
      </w:r>
      <w:r w:rsidR="00A14217">
        <w:t xml:space="preserve"> The</w:t>
      </w:r>
      <w:r>
        <w:t xml:space="preserve"> increase in the number of citations over the years is difficult to interpret without additional data, but </w:t>
      </w:r>
      <w:r w:rsidR="00022A6E">
        <w:t>in any event the</w:t>
      </w:r>
      <w:r w:rsidR="009064FB">
        <w:t xml:space="preserve"> numbers show no sign</w:t>
      </w:r>
      <w:r>
        <w:t xml:space="preserve"> of decreasing.</w:t>
      </w:r>
    </w:p>
    <w:p w:rsidR="00BF4E5E" w:rsidRDefault="00BF4E5E" w:rsidP="00BF4E5E">
      <w:pPr>
        <w:pStyle w:val="NormalWeb"/>
        <w:spacing w:before="115" w:beforeAutospacing="0" w:after="0" w:afterAutospacing="0" w:line="480" w:lineRule="auto"/>
        <w:ind w:firstLine="720"/>
        <w:jc w:val="center"/>
        <w:textAlignment w:val="baseline"/>
      </w:pPr>
      <w:r>
        <w:t>________________________</w:t>
      </w:r>
    </w:p>
    <w:p w:rsidR="00BF4E5E" w:rsidRDefault="00BF4E5E" w:rsidP="00BF4E5E">
      <w:pPr>
        <w:pStyle w:val="NormalWeb"/>
        <w:spacing w:before="115" w:beforeAutospacing="0" w:after="0" w:afterAutospacing="0" w:line="480" w:lineRule="auto"/>
        <w:ind w:firstLine="720"/>
        <w:jc w:val="center"/>
        <w:textAlignment w:val="baseline"/>
      </w:pPr>
      <w:r>
        <w:t>Insert Figure 1 about here.</w:t>
      </w:r>
    </w:p>
    <w:p w:rsidR="00BF4E5E" w:rsidRDefault="00BF4E5E" w:rsidP="00BF4E5E">
      <w:pPr>
        <w:pStyle w:val="NormalWeb"/>
        <w:spacing w:before="115" w:beforeAutospacing="0" w:after="0" w:afterAutospacing="0" w:line="480" w:lineRule="auto"/>
        <w:ind w:firstLine="720"/>
        <w:jc w:val="center"/>
        <w:textAlignment w:val="baseline"/>
      </w:pPr>
      <w:r>
        <w:t>________________________</w:t>
      </w:r>
    </w:p>
    <w:p w:rsidR="00FA0894" w:rsidRDefault="00FA0894" w:rsidP="009064FB">
      <w:pPr>
        <w:pStyle w:val="NormalWeb"/>
        <w:spacing w:before="115" w:beforeAutospacing="0" w:after="0" w:afterAutospacing="0" w:line="480" w:lineRule="auto"/>
        <w:ind w:firstLine="720"/>
        <w:textAlignment w:val="baseline"/>
      </w:pPr>
      <w:r>
        <w:lastRenderedPageBreak/>
        <w:t xml:space="preserve">Tuck made many important contributions to our field, most of which are represented by some 30 articles in </w:t>
      </w:r>
      <w:r w:rsidRPr="00FA0894">
        <w:rPr>
          <w:i/>
        </w:rPr>
        <w:t>Psychometrika</w:t>
      </w:r>
      <w:r>
        <w:t>. They include “Some mathematical notes on three-mode factor analysis” (Tucker, 1966), “An inter-battery method of factor analysis” (Tucker, 1958), “An individual differences model for multidimensional scaling” (Tucker &amp; Messick, 1963), “Determination of parameters of a functional relation by factor analysis” (Tucker, 1958), and “Evaluation of factor analytic research</w:t>
      </w:r>
      <w:r w:rsidR="00EA3CCE">
        <w:t xml:space="preserve"> procedures</w:t>
      </w:r>
      <w:r>
        <w:t xml:space="preserve"> by means of simulated correlation matrices” (Tucker, Koopman &amp; Linn,</w:t>
      </w:r>
      <w:r w:rsidR="00BF4E5E">
        <w:t xml:space="preserve"> 1969), to list only his most frequently</w:t>
      </w:r>
      <w:r>
        <w:t xml:space="preserve"> cited papers</w:t>
      </w:r>
      <w:r w:rsidR="0048173C">
        <w:t xml:space="preserve"> (in descending order)</w:t>
      </w:r>
      <w:r>
        <w:t>.</w:t>
      </w:r>
    </w:p>
    <w:p w:rsidR="00A3632F" w:rsidRDefault="00BF4E5E" w:rsidP="00BF4E5E">
      <w:pPr>
        <w:pStyle w:val="NormalWeb"/>
        <w:spacing w:before="115" w:beforeAutospacing="0" w:after="0" w:afterAutospacing="0" w:line="480" w:lineRule="auto"/>
        <w:ind w:firstLine="720"/>
        <w:textAlignment w:val="baseline"/>
      </w:pPr>
      <w:r>
        <w:t>A</w:t>
      </w:r>
      <w:r w:rsidR="002D433A">
        <w:t>s far as I know, Tuck never cited our paper</w:t>
      </w:r>
      <w:r w:rsidR="009064FB">
        <w:t xml:space="preserve"> in his subsequent writings</w:t>
      </w:r>
      <w:r>
        <w:t>, and n</w:t>
      </w:r>
      <w:r w:rsidR="005E3D5C">
        <w:t>either Tuck nor I</w:t>
      </w:r>
      <w:r w:rsidR="006605EB">
        <w:t xml:space="preserve"> ever followed up on the idea of a goodness o</w:t>
      </w:r>
      <w:r>
        <w:t>f fit index for factor analysis</w:t>
      </w:r>
      <w:r w:rsidR="006605EB">
        <w:t>.</w:t>
      </w:r>
      <w:r w:rsidR="00CD4D3D">
        <w:t xml:space="preserve"> In a 2003</w:t>
      </w:r>
      <w:r w:rsidR="005E3D5C">
        <w:t xml:space="preserve"> interview</w:t>
      </w:r>
      <w:r w:rsidR="00CD4D3D">
        <w:t xml:space="preserve"> </w:t>
      </w:r>
      <w:r w:rsidR="0048173C">
        <w:t>he</w:t>
      </w:r>
      <w:r w:rsidR="00CD4D3D">
        <w:t xml:space="preserve"> gave to</w:t>
      </w:r>
      <w:r w:rsidR="005E3D5C">
        <w:t xml:space="preserve"> Neil Doran</w:t>
      </w:r>
      <w:r w:rsidR="0048173C">
        <w:t>s, Tuck</w:t>
      </w:r>
      <w:r w:rsidR="005E3D5C">
        <w:t xml:space="preserve"> said “Measures of goodness of fit can be helpful but they can also be misleading – especially </w:t>
      </w:r>
      <w:r w:rsidR="004F13A2">
        <w:t>the global ones</w:t>
      </w:r>
      <w:r w:rsidR="005E3D5C">
        <w:t>”</w:t>
      </w:r>
      <w:r w:rsidR="004F13A2">
        <w:t xml:space="preserve"> (Dorans, 2004, p. 10</w:t>
      </w:r>
      <w:r w:rsidR="005E3D5C">
        <w:t>)</w:t>
      </w:r>
      <w:r w:rsidR="004F13A2">
        <w:t>.</w:t>
      </w:r>
      <w:r w:rsidR="00CD4D3D">
        <w:t xml:space="preserve"> </w:t>
      </w:r>
      <w:r>
        <w:t>I agree.</w:t>
      </w:r>
    </w:p>
    <w:p w:rsidR="00D718A9" w:rsidRDefault="00A22E68" w:rsidP="009064FB">
      <w:pPr>
        <w:pStyle w:val="NormalWeb"/>
        <w:spacing w:before="115" w:beforeAutospacing="0" w:after="0" w:afterAutospacing="0" w:line="480" w:lineRule="auto"/>
        <w:ind w:firstLine="720"/>
        <w:textAlignment w:val="baseline"/>
      </w:pPr>
      <w:r>
        <w:t>At the en</w:t>
      </w:r>
      <w:r w:rsidR="009064FB">
        <w:t>d of our 1973</w:t>
      </w:r>
      <w:r>
        <w:t xml:space="preserve"> article</w:t>
      </w:r>
      <w:r w:rsidR="00933D3A">
        <w:t xml:space="preserve">, Tuck writes: “The number of factors to accept appears to depend on size of loadings and meaningfulness of factoring results.” He concludes with the sentence: “Any accepted solution should have a </w:t>
      </w:r>
      <w:r w:rsidR="004F13A2">
        <w:t>high coefficient of reliability</w:t>
      </w:r>
      <w:r w:rsidR="00933D3A">
        <w:t>”</w:t>
      </w:r>
      <w:r w:rsidR="004F13A2">
        <w:t xml:space="preserve"> (Tucker &amp; Lewis, 1973, p. 9</w:t>
      </w:r>
      <w:r w:rsidR="00933D3A">
        <w:t>)</w:t>
      </w:r>
      <w:r w:rsidR="004F13A2">
        <w:t>. In other words,</w:t>
      </w:r>
      <w:r w:rsidR="00933D3A">
        <w:t xml:space="preserve"> only a </w:t>
      </w:r>
      <w:r>
        <w:t>limited role is proposed for the</w:t>
      </w:r>
      <w:r w:rsidR="00933D3A">
        <w:t xml:space="preserve"> index, with the emphasis placed on the meaningfulness of the results.</w:t>
      </w:r>
    </w:p>
    <w:p w:rsidR="00D718A9" w:rsidRDefault="00933D3A" w:rsidP="00FD0691">
      <w:pPr>
        <w:pStyle w:val="NormalWeb"/>
        <w:spacing w:before="115" w:beforeAutospacing="0" w:after="0" w:afterAutospacing="0" w:line="480" w:lineRule="auto"/>
        <w:ind w:firstLine="720"/>
        <w:textAlignment w:val="baseline"/>
      </w:pPr>
      <w:r>
        <w:t>Given</w:t>
      </w:r>
      <w:r w:rsidR="00CC68B5">
        <w:t xml:space="preserve"> t</w:t>
      </w:r>
      <w:r w:rsidR="00E41F1F">
        <w:t>his lu</w:t>
      </w:r>
      <w:r w:rsidR="00FD0691">
        <w:t>kewarm attitude toward the just-</w:t>
      </w:r>
      <w:r w:rsidR="00E41F1F">
        <w:t>proposed</w:t>
      </w:r>
      <w:r w:rsidR="00FD0691">
        <w:t xml:space="preserve"> measure</w:t>
      </w:r>
      <w:r>
        <w:t>, one might wonder why the paper was written at all.</w:t>
      </w:r>
      <w:r w:rsidR="00BF4E5E">
        <w:t xml:space="preserve"> Part of t</w:t>
      </w:r>
      <w:r w:rsidR="00E41F1F">
        <w:t>he answer is that it was produced</w:t>
      </w:r>
      <w:r w:rsidR="00BF4E5E">
        <w:t xml:space="preserve"> as a response to an idea</w:t>
      </w:r>
      <w:r w:rsidR="002409AB">
        <w:t xml:space="preserve"> that Tuck found highly u</w:t>
      </w:r>
      <w:r w:rsidR="00C153E2">
        <w:t>nsatisfactory, namely using</w:t>
      </w:r>
      <w:r w:rsidR="002409AB">
        <w:t xml:space="preserve"> significance testing to </w:t>
      </w:r>
      <w:r w:rsidR="002C2C09">
        <w:t>help select an appropriate number of factors</w:t>
      </w:r>
      <w:r w:rsidR="002409AB">
        <w:t>.</w:t>
      </w:r>
      <w:r w:rsidR="00A22E68">
        <w:t xml:space="preserve"> This proposal was made by</w:t>
      </w:r>
      <w:r w:rsidR="009064FB">
        <w:t xml:space="preserve"> (among others)</w:t>
      </w:r>
      <w:r w:rsidR="00CC61AE">
        <w:t xml:space="preserve"> Karl Jö</w:t>
      </w:r>
      <w:r w:rsidR="00A22E68">
        <w:t xml:space="preserve">reskog in his 1967 </w:t>
      </w:r>
      <w:r w:rsidR="00A22E68" w:rsidRPr="00632B5B">
        <w:rPr>
          <w:i/>
        </w:rPr>
        <w:t>Psychometrika</w:t>
      </w:r>
      <w:r w:rsidR="00A22E68">
        <w:t xml:space="preserve"> article on maximum likelihood factor analysis.</w:t>
      </w:r>
      <w:r w:rsidR="00D718A9">
        <w:t xml:space="preserve"> </w:t>
      </w:r>
    </w:p>
    <w:p w:rsidR="00E37010" w:rsidRDefault="00FD0691" w:rsidP="00E37010">
      <w:pPr>
        <w:pStyle w:val="NormalWeb"/>
        <w:spacing w:before="115" w:beforeAutospacing="0" w:after="0" w:afterAutospacing="0" w:line="480" w:lineRule="auto"/>
        <w:ind w:firstLine="720"/>
        <w:textAlignment w:val="baseline"/>
      </w:pPr>
      <w:r>
        <w:lastRenderedPageBreak/>
        <w:t>The idea of using</w:t>
      </w:r>
      <w:r w:rsidR="00D718A9">
        <w:t xml:space="preserve"> significan</w:t>
      </w:r>
      <w:r>
        <w:t>ce testing</w:t>
      </w:r>
      <w:r w:rsidR="00D718A9">
        <w:t xml:space="preserve"> to evaluate a statistical model</w:t>
      </w:r>
      <w:r w:rsidR="009064FB">
        <w:t xml:space="preserve"> must have</w:t>
      </w:r>
      <w:r w:rsidR="00D718A9">
        <w:t xml:space="preserve"> reminded Tuck of </w:t>
      </w:r>
      <w:r>
        <w:t>two articles that had appeared</w:t>
      </w:r>
      <w:r w:rsidR="00D718A9">
        <w:t xml:space="preserve"> in </w:t>
      </w:r>
      <w:r w:rsidR="00D718A9" w:rsidRPr="00D718A9">
        <w:rPr>
          <w:i/>
        </w:rPr>
        <w:t>Psychometrika</w:t>
      </w:r>
      <w:r w:rsidR="00D718A9">
        <w:t xml:space="preserve"> </w:t>
      </w:r>
      <w:r w:rsidR="00E41F1F">
        <w:t xml:space="preserve">several years previously </w:t>
      </w:r>
      <w:r w:rsidR="00D718A9">
        <w:t>regarding Thurstone’</w:t>
      </w:r>
      <w:r w:rsidR="00412115">
        <w:t xml:space="preserve">s method of paired comparisons. </w:t>
      </w:r>
      <w:r>
        <w:t xml:space="preserve">An article written in 1951 by Fred Mosteller </w:t>
      </w:r>
      <w:r w:rsidR="00E37010">
        <w:t xml:space="preserve">begins with the sentence “It would be useful in Thurstone’s method of paired comparisons to have a measure of the goodness of fit of the estimated proportions to the observed proportions” (Mosteller, 1951, p. 207). It goes on to develop a test of the hypothesis that the model is correct for the population from which the data have been sampled, and seems to say that a failure to reject this hypothesis should be treated as providing support for the model. </w:t>
      </w:r>
    </w:p>
    <w:p w:rsidR="00E37010" w:rsidRDefault="00E37010" w:rsidP="00E37010">
      <w:pPr>
        <w:pStyle w:val="NormalWeb"/>
        <w:spacing w:before="115" w:beforeAutospacing="0" w:after="0" w:afterAutospacing="0" w:line="480" w:lineRule="auto"/>
        <w:ind w:firstLine="720"/>
        <w:textAlignment w:val="baseline"/>
      </w:pPr>
      <w:r>
        <w:t>A response</w:t>
      </w:r>
      <w:r w:rsidR="00C153E2">
        <w:t xml:space="preserve"> to this idea appeared </w:t>
      </w:r>
      <w:r>
        <w:t>in a</w:t>
      </w:r>
      <w:r w:rsidR="00C153E2">
        <w:t xml:space="preserve"> 1958</w:t>
      </w:r>
      <w:r>
        <w:t xml:space="preserve"> </w:t>
      </w:r>
      <w:r w:rsidRPr="00880B77">
        <w:rPr>
          <w:i/>
        </w:rPr>
        <w:t>Psychometrika</w:t>
      </w:r>
      <w:r>
        <w:t xml:space="preserve"> article written by Harold Gulliksen and John Tukey with the title “Reliability for the Law of Comparative Judgment.” (It may be noted that the authors thank</w:t>
      </w:r>
      <w:r w:rsidR="00CB266C">
        <w:t>ed</w:t>
      </w:r>
      <w:r>
        <w:t xml:space="preserve"> Ledyard Tucker and Frederic Lord</w:t>
      </w:r>
      <w:r w:rsidRPr="007E30DB">
        <w:t xml:space="preserve"> </w:t>
      </w:r>
      <w:r>
        <w:t>for “val</w:t>
      </w:r>
      <w:r w:rsidR="00E95922">
        <w:t>uable suggestions.”) The paper</w:t>
      </w:r>
      <w:r>
        <w:t xml:space="preserve"> begins with the observation that significance tests have a well-known weakness, namely their sensitivity to sample size. Cochran and Fisher are identified among those who have also discussed this issue.</w:t>
      </w:r>
    </w:p>
    <w:p w:rsidR="00E37010" w:rsidRDefault="00E37010" w:rsidP="00E37010">
      <w:pPr>
        <w:pStyle w:val="NormalWeb"/>
        <w:spacing w:before="115" w:beforeAutospacing="0" w:after="0" w:afterAutospacing="0" w:line="480" w:lineRule="auto"/>
        <w:ind w:firstLine="720"/>
        <w:textAlignment w:val="baseline"/>
      </w:pPr>
      <w:r>
        <w:t>As an alternative approach to the problem of evaluating the fit of a model, Harold and John propose a “reliability” measure. Essentially, they define this reliability as the ratio of the variance associated with the model to the total variance. The analogy between their measure and the ratio of true score variance to observed score variance presumably accounts for the</w:t>
      </w:r>
      <w:r w:rsidR="00E95922">
        <w:t>ir</w:t>
      </w:r>
      <w:r>
        <w:t xml:space="preserve"> use of the term “reliability.”</w:t>
      </w:r>
    </w:p>
    <w:p w:rsidR="00E37010" w:rsidRDefault="00E37010" w:rsidP="00E37010">
      <w:pPr>
        <w:pStyle w:val="NormalWeb"/>
        <w:spacing w:before="115" w:beforeAutospacing="0" w:after="0" w:afterAutospacing="0" w:line="480" w:lineRule="auto"/>
        <w:ind w:firstLine="720"/>
        <w:textAlignment w:val="baseline"/>
      </w:pPr>
      <w:r>
        <w:t>When evaluated for an example given by Mosteller</w:t>
      </w:r>
      <w:r w:rsidR="009E3AD0">
        <w:t xml:space="preserve"> that had a non-significant chi-square</w:t>
      </w:r>
      <w:r>
        <w:t>, the value o</w:t>
      </w:r>
      <w:r w:rsidR="00C153E2">
        <w:t xml:space="preserve">btained for the estimated </w:t>
      </w:r>
      <w:r>
        <w:t>reliability is</w:t>
      </w:r>
      <w:r w:rsidR="00E95922">
        <w:t xml:space="preserve"> only</w:t>
      </w:r>
      <w:r>
        <w:t xml:space="preserve"> .73. A second example, based on a larger data set, yields a significant chi-square value </w:t>
      </w:r>
      <w:r w:rsidRPr="00F022D1">
        <w:rPr>
          <w:position w:val="-16"/>
        </w:rPr>
        <w:object w:dxaOrig="26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22pt" o:ole="">
            <v:imagedata r:id="rId8" o:title=""/>
          </v:shape>
          <o:OLEObject Type="Embed" ProgID="Equation.DSMT4" ShapeID="_x0000_i1025" DrawAspect="Content" ObjectID="_1528010276" r:id="rId9"/>
        </w:object>
      </w:r>
      <w:r w:rsidR="00C153E2">
        <w:t xml:space="preserve"> combined with a</w:t>
      </w:r>
      <w:r>
        <w:t xml:space="preserve"> reliability of about .95.</w:t>
      </w:r>
    </w:p>
    <w:p w:rsidR="007E30DB" w:rsidRDefault="00E95922" w:rsidP="00E37010">
      <w:pPr>
        <w:pStyle w:val="NormalWeb"/>
        <w:spacing w:before="115" w:beforeAutospacing="0" w:after="0" w:afterAutospacing="0" w:line="480" w:lineRule="auto"/>
        <w:ind w:firstLine="720"/>
        <w:textAlignment w:val="baseline"/>
      </w:pPr>
      <w:r>
        <w:lastRenderedPageBreak/>
        <w:t>Our paper</w:t>
      </w:r>
      <w:r w:rsidR="00E37010">
        <w:t xml:space="preserve"> begins with a brief review of developments in maximum likelihood factor analysis, concluding with the Jöreskog (</w:t>
      </w:r>
      <w:r w:rsidR="00C153E2">
        <w:t>1967) article. It then reviews</w:t>
      </w:r>
      <w:r w:rsidR="00E37010">
        <w:t xml:space="preserve"> the shortcoming</w:t>
      </w:r>
      <w:r w:rsidR="009E3AD0">
        <w:t>s</w:t>
      </w:r>
      <w:r w:rsidR="00E37010">
        <w:t xml:space="preserve"> of significance testing in the context of likelihood ratio tests applied to factor analysis. Next, the work of Mosteller (1951) and the response of Gulliksen and Tukey (1958)</w:t>
      </w:r>
      <w:r w:rsidR="009E3AD0">
        <w:t xml:space="preserve"> are described</w:t>
      </w:r>
      <w:r w:rsidR="00E37010">
        <w:t>. It is concluded that “An analogous reliability type coefficient is needed for factor analysis” (Tucker &amp; Lewis, 1973, p. 3). I hope that this background may help to explain why our paper was written in the first place. It may also help to explain where the term “reliability coefficient” in our title comes from. Happily, subsequent researchers abandoned this label</w:t>
      </w:r>
      <w:r w:rsidR="009E3AD0">
        <w:t xml:space="preserve"> in favor of the more appropriate</w:t>
      </w:r>
      <w:r>
        <w:t xml:space="preserve"> “goodness of fit index.”</w:t>
      </w:r>
    </w:p>
    <w:p w:rsidR="00A05B1E" w:rsidRDefault="00FB3B4D" w:rsidP="009064FB">
      <w:pPr>
        <w:pStyle w:val="NormalWeb"/>
        <w:spacing w:before="115" w:beforeAutospacing="0" w:after="0" w:afterAutospacing="0" w:line="480" w:lineRule="auto"/>
        <w:ind w:firstLine="720"/>
        <w:textAlignment w:val="baseline"/>
      </w:pPr>
      <w:r>
        <w:t>The likelihood ratio statistic</w:t>
      </w:r>
      <w:r w:rsidR="003C299A">
        <w:t xml:space="preserve"> (denoted here by </w:t>
      </w:r>
      <w:r w:rsidR="003C299A" w:rsidRPr="003C299A">
        <w:rPr>
          <w:position w:val="-12"/>
        </w:rPr>
        <w:object w:dxaOrig="380" w:dyaOrig="380">
          <v:shape id="_x0000_i1026" type="#_x0000_t75" style="width:19pt;height:19pt" o:ole="">
            <v:imagedata r:id="rId10" o:title=""/>
          </v:shape>
          <o:OLEObject Type="Embed" ProgID="Equation.DSMT4" ShapeID="_x0000_i1026" DrawAspect="Content" ObjectID="_1528010277" r:id="rId11"/>
        </w:object>
      </w:r>
      <w:r w:rsidR="003C299A">
        <w:t>)</w:t>
      </w:r>
      <w:r>
        <w:t xml:space="preserve"> for </w:t>
      </w:r>
      <w:r w:rsidR="003C299A">
        <w:t xml:space="preserve">an unrestricted factor model with </w:t>
      </w:r>
      <w:r w:rsidR="003C299A" w:rsidRPr="00116F69">
        <w:rPr>
          <w:i/>
        </w:rPr>
        <w:t>m</w:t>
      </w:r>
      <w:r w:rsidR="003C299A">
        <w:t xml:space="preserve"> factors </w:t>
      </w:r>
      <w:r w:rsidR="00A05B1E">
        <w:t xml:space="preserve"> has an asymptotic null distribution that is chi-square with degrees of freedom</w:t>
      </w:r>
      <w:r w:rsidR="00E95922">
        <w:t xml:space="preserve"> denoted by </w:t>
      </w:r>
      <w:r w:rsidR="00E95922" w:rsidRPr="00A05B1E">
        <w:rPr>
          <w:position w:val="-12"/>
        </w:rPr>
        <w:object w:dxaOrig="380" w:dyaOrig="360">
          <v:shape id="_x0000_i1027" type="#_x0000_t75" style="width:19pt;height:18pt" o:ole="">
            <v:imagedata r:id="rId12" o:title=""/>
          </v:shape>
          <o:OLEObject Type="Embed" ProgID="Equation.DSMT4" ShapeID="_x0000_i1027" DrawAspect="Content" ObjectID="_1528010278" r:id="rId13"/>
        </w:object>
      </w:r>
      <w:r w:rsidR="00E95922">
        <w:t>. Arguing b</w:t>
      </w:r>
      <w:r w:rsidR="00A05B1E">
        <w:t>y analogy,</w:t>
      </w:r>
      <w:r w:rsidR="00E95922">
        <w:t xml:space="preserve"> </w:t>
      </w:r>
      <w:r w:rsidR="00C153E2">
        <w:t xml:space="preserve">in our paper </w:t>
      </w:r>
      <w:r w:rsidR="00E95922">
        <w:t>we treat</w:t>
      </w:r>
      <w:r w:rsidR="00A05B1E">
        <w:t xml:space="preserve"> </w:t>
      </w:r>
      <w:r w:rsidR="009E3AD0" w:rsidRPr="003C299A">
        <w:rPr>
          <w:position w:val="-12"/>
        </w:rPr>
        <w:object w:dxaOrig="380" w:dyaOrig="380">
          <v:shape id="_x0000_i1028" type="#_x0000_t75" style="width:19pt;height:19pt" o:ole="">
            <v:imagedata r:id="rId10" o:title=""/>
          </v:shape>
          <o:OLEObject Type="Embed" ProgID="Equation.DSMT4" ShapeID="_x0000_i1028" DrawAspect="Content" ObjectID="_1528010279" r:id="rId14"/>
        </w:object>
      </w:r>
      <w:r w:rsidR="009E3AD0">
        <w:t xml:space="preserve"> </w:t>
      </w:r>
      <w:r w:rsidR="00A05B1E">
        <w:t xml:space="preserve">as though </w:t>
      </w:r>
      <w:r>
        <w:t>it were a sum of squared deviations of observations from their fitted values. When divided by it</w:t>
      </w:r>
      <w:r w:rsidR="00116F69">
        <w:t xml:space="preserve">s degrees of freedom, and by </w:t>
      </w:r>
      <w:r w:rsidR="00116F69" w:rsidRPr="00116F69">
        <w:rPr>
          <w:position w:val="-6"/>
        </w:rPr>
        <w:object w:dxaOrig="560" w:dyaOrig="279">
          <v:shape id="_x0000_i1029" type="#_x0000_t75" style="width:27.5pt;height:14.5pt" o:ole="">
            <v:imagedata r:id="rId15" o:title=""/>
          </v:shape>
          <o:OLEObject Type="Embed" ProgID="Equation.DSMT4" ShapeID="_x0000_i1029" DrawAspect="Content" ObjectID="_1528010280" r:id="rId16"/>
        </w:object>
      </w:r>
      <w:r w:rsidR="003C299A">
        <w:rPr>
          <w:rStyle w:val="FootnoteReference"/>
        </w:rPr>
        <w:footnoteReference w:id="1"/>
      </w:r>
      <w:r w:rsidR="00116F69">
        <w:t xml:space="preserve">, it is </w:t>
      </w:r>
      <w:r w:rsidR="009E3AD0">
        <w:t>analogous to</w:t>
      </w:r>
      <w:r w:rsidR="00116F69">
        <w:t xml:space="preserve"> a mean square</w:t>
      </w:r>
      <w:r w:rsidR="00E95922">
        <w:t>,</w:t>
      </w:r>
      <w:r w:rsidR="00116F69">
        <w:t xml:space="preserve"> and</w:t>
      </w:r>
      <w:r w:rsidR="00E95922">
        <w:t xml:space="preserve"> is</w:t>
      </w:r>
      <w:r w:rsidR="00116F69">
        <w:t xml:space="preserve"> denoted by </w:t>
      </w:r>
      <w:r w:rsidR="00116F69" w:rsidRPr="00116F69">
        <w:rPr>
          <w:position w:val="-12"/>
        </w:rPr>
        <w:object w:dxaOrig="400" w:dyaOrig="360">
          <v:shape id="_x0000_i1030" type="#_x0000_t75" style="width:20.5pt;height:18pt" o:ole="">
            <v:imagedata r:id="rId17" o:title=""/>
          </v:shape>
          <o:OLEObject Type="Embed" ProgID="Equation.DSMT4" ShapeID="_x0000_i1030" DrawAspect="Content" ObjectID="_1528010281" r:id="rId18"/>
        </w:object>
      </w:r>
      <w:r w:rsidR="00A05B1E">
        <w:t>:</w:t>
      </w:r>
    </w:p>
    <w:p w:rsidR="00A05B1E" w:rsidRDefault="00A05B1E" w:rsidP="009064FB">
      <w:pPr>
        <w:pStyle w:val="NormalWeb"/>
        <w:spacing w:before="115" w:beforeAutospacing="0" w:after="0" w:afterAutospacing="0" w:line="480" w:lineRule="auto"/>
        <w:ind w:firstLine="720"/>
        <w:textAlignment w:val="baseline"/>
      </w:pPr>
      <w:r w:rsidRPr="00A05B1E">
        <w:rPr>
          <w:position w:val="-32"/>
        </w:rPr>
        <w:object w:dxaOrig="1740" w:dyaOrig="740">
          <v:shape id="_x0000_i1031" type="#_x0000_t75" style="width:87pt;height:36.5pt" o:ole="">
            <v:imagedata r:id="rId19" o:title=""/>
          </v:shape>
          <o:OLEObject Type="Embed" ProgID="Equation.DSMT4" ShapeID="_x0000_i1031" DrawAspect="Content" ObjectID="_1528010282" r:id="rId20"/>
        </w:object>
      </w:r>
      <w:r>
        <w:t>.</w:t>
      </w:r>
      <w:r w:rsidR="002E7D76">
        <w:tab/>
      </w:r>
      <w:r w:rsidR="002E7D76">
        <w:tab/>
      </w:r>
      <w:r w:rsidR="002E7D76">
        <w:tab/>
      </w:r>
      <w:r w:rsidR="002E7D76">
        <w:tab/>
      </w:r>
      <w:r w:rsidR="002E7D76">
        <w:tab/>
      </w:r>
      <w:r w:rsidR="002E7D76">
        <w:tab/>
      </w:r>
      <w:r w:rsidR="002E7D76">
        <w:tab/>
      </w:r>
      <w:r w:rsidR="002E7D76">
        <w:tab/>
      </w:r>
      <w:r w:rsidR="002E7D76">
        <w:tab/>
        <w:t>(1)</w:t>
      </w:r>
    </w:p>
    <w:p w:rsidR="0078727E" w:rsidRDefault="00116F69" w:rsidP="00A05B1E">
      <w:pPr>
        <w:pStyle w:val="NormalWeb"/>
        <w:spacing w:before="115" w:beforeAutospacing="0" w:after="0" w:afterAutospacing="0" w:line="480" w:lineRule="auto"/>
        <w:textAlignment w:val="baseline"/>
      </w:pPr>
      <w:r>
        <w:t>It</w:t>
      </w:r>
      <w:r w:rsidR="00A05B1E">
        <w:t>s expectation is</w:t>
      </w:r>
      <w:r>
        <w:t xml:space="preserve"> written as</w:t>
      </w:r>
      <w:r w:rsidR="009E3AD0">
        <w:t xml:space="preserve"> the sum of two</w:t>
      </w:r>
      <w:r w:rsidR="002E7D76">
        <w:t xml:space="preserve"> components</w:t>
      </w:r>
    </w:p>
    <w:p w:rsidR="00116F69" w:rsidRDefault="00116F69" w:rsidP="009064FB">
      <w:pPr>
        <w:pStyle w:val="NormalWeb"/>
        <w:spacing w:before="115" w:beforeAutospacing="0" w:after="0" w:afterAutospacing="0" w:line="480" w:lineRule="auto"/>
        <w:ind w:firstLine="720"/>
        <w:textAlignment w:val="baseline"/>
      </w:pPr>
      <w:r w:rsidRPr="00116F69">
        <w:rPr>
          <w:position w:val="-14"/>
        </w:rPr>
        <w:object w:dxaOrig="1740" w:dyaOrig="400">
          <v:shape id="_x0000_i1032" type="#_x0000_t75" style="width:87pt;height:20.5pt" o:ole="">
            <v:imagedata r:id="rId21" o:title=""/>
          </v:shape>
          <o:OLEObject Type="Embed" ProgID="Equation.DSMT4" ShapeID="_x0000_i1032" DrawAspect="Content" ObjectID="_1528010283" r:id="rId22"/>
        </w:object>
      </w:r>
      <w:r w:rsidR="002E7D76">
        <w:t>.</w:t>
      </w:r>
      <w:r w:rsidR="002E7D76">
        <w:tab/>
      </w:r>
      <w:r w:rsidR="002E7D76">
        <w:tab/>
      </w:r>
      <w:r w:rsidR="002E7D76">
        <w:tab/>
      </w:r>
      <w:r w:rsidR="00E95922">
        <w:tab/>
      </w:r>
      <w:r w:rsidR="002E7D76">
        <w:tab/>
      </w:r>
      <w:r w:rsidR="002E7D76">
        <w:tab/>
      </w:r>
      <w:r w:rsidR="002E7D76">
        <w:tab/>
      </w:r>
      <w:r w:rsidR="002E7D76">
        <w:tab/>
      </w:r>
      <w:r w:rsidR="002E7D76">
        <w:tab/>
        <w:t>(2)</w:t>
      </w:r>
    </w:p>
    <w:p w:rsidR="00116F69" w:rsidRDefault="002E7D76" w:rsidP="00116F69">
      <w:pPr>
        <w:pStyle w:val="NormalWeb"/>
        <w:spacing w:before="115" w:beforeAutospacing="0" w:after="0" w:afterAutospacing="0" w:line="480" w:lineRule="auto"/>
        <w:textAlignment w:val="baseline"/>
      </w:pPr>
      <w:r>
        <w:lastRenderedPageBreak/>
        <w:t>Here</w:t>
      </w:r>
      <w:r w:rsidR="00116F69">
        <w:t xml:space="preserve"> </w:t>
      </w:r>
      <w:r w:rsidR="00116F69" w:rsidRPr="00116F69">
        <w:rPr>
          <w:position w:val="-12"/>
        </w:rPr>
        <w:object w:dxaOrig="300" w:dyaOrig="360">
          <v:shape id="_x0000_i1033" type="#_x0000_t75" style="width:15pt;height:18pt" o:ole="">
            <v:imagedata r:id="rId23" o:title=""/>
          </v:shape>
          <o:OLEObject Type="Embed" ProgID="Equation.DSMT4" ShapeID="_x0000_i1033" DrawAspect="Content" ObjectID="_1528010284" r:id="rId24"/>
        </w:object>
      </w:r>
      <w:r w:rsidR="00A05B1E">
        <w:t xml:space="preserve"> represents a</w:t>
      </w:r>
      <w:r w:rsidR="00116F69">
        <w:t xml:space="preserve"> </w:t>
      </w:r>
      <w:r w:rsidR="003C299A">
        <w:t>co</w:t>
      </w:r>
      <w:r w:rsidR="00A05B1E">
        <w:t>mponent representing</w:t>
      </w:r>
      <w:r w:rsidR="003C299A">
        <w:t xml:space="preserve"> </w:t>
      </w:r>
      <w:r w:rsidR="00116F69">
        <w:t>systematic deviations of the model from the population</w:t>
      </w:r>
      <w:r>
        <w:t xml:space="preserve"> (proportional to a noncentrality parameter)</w:t>
      </w:r>
      <w:r w:rsidR="00116F69">
        <w:t xml:space="preserve"> and </w:t>
      </w:r>
      <w:r w:rsidR="00116F69" w:rsidRPr="00116F69">
        <w:rPr>
          <w:position w:val="-12"/>
        </w:rPr>
        <w:object w:dxaOrig="300" w:dyaOrig="360">
          <v:shape id="_x0000_i1034" type="#_x0000_t75" style="width:15pt;height:18pt" o:ole="">
            <v:imagedata r:id="rId25" o:title=""/>
          </v:shape>
          <o:OLEObject Type="Embed" ProgID="Equation.DSMT4" ShapeID="_x0000_i1034" DrawAspect="Content" ObjectID="_1528010285" r:id="rId26"/>
        </w:object>
      </w:r>
      <w:r w:rsidR="00A05B1E">
        <w:t xml:space="preserve"> is a</w:t>
      </w:r>
      <w:r w:rsidR="003C299A">
        <w:t xml:space="preserve"> component associated with sampling variation. For the</w:t>
      </w:r>
      <w:r w:rsidR="00A05B1E">
        <w:t xml:space="preserve"> null</w:t>
      </w:r>
      <w:r w:rsidR="003C299A">
        <w:t xml:space="preserve"> case when </w:t>
      </w:r>
      <w:r w:rsidR="003C299A" w:rsidRPr="00116F69">
        <w:rPr>
          <w:position w:val="-12"/>
        </w:rPr>
        <w:object w:dxaOrig="680" w:dyaOrig="360">
          <v:shape id="_x0000_i1035" type="#_x0000_t75" style="width:34pt;height:18pt" o:ole="">
            <v:imagedata r:id="rId27" o:title=""/>
          </v:shape>
          <o:OLEObject Type="Embed" ProgID="Equation.DSMT4" ShapeID="_x0000_i1035" DrawAspect="Content" ObjectID="_1528010286" r:id="rId28"/>
        </w:object>
      </w:r>
      <w:r w:rsidR="00A05B1E">
        <w:t>, we have</w:t>
      </w:r>
    </w:p>
    <w:p w:rsidR="00A05B1E" w:rsidRDefault="00A05B1E" w:rsidP="00116F69">
      <w:pPr>
        <w:pStyle w:val="NormalWeb"/>
        <w:spacing w:before="115" w:beforeAutospacing="0" w:after="0" w:afterAutospacing="0" w:line="480" w:lineRule="auto"/>
        <w:textAlignment w:val="baseline"/>
      </w:pPr>
      <w:r>
        <w:tab/>
      </w:r>
      <w:r w:rsidR="002E7D76" w:rsidRPr="00A05B1E">
        <w:rPr>
          <w:position w:val="-16"/>
        </w:rPr>
        <w:object w:dxaOrig="2000" w:dyaOrig="440">
          <v:shape id="_x0000_i1036" type="#_x0000_t75" style="width:100pt;height:22pt" o:ole="">
            <v:imagedata r:id="rId29" o:title=""/>
          </v:shape>
          <o:OLEObject Type="Embed" ProgID="Equation.DSMT4" ShapeID="_x0000_i1036" DrawAspect="Content" ObjectID="_1528010287" r:id="rId30"/>
        </w:object>
      </w:r>
      <w:r>
        <w:t>,</w:t>
      </w:r>
      <w:r w:rsidR="002E7D76">
        <w:tab/>
      </w:r>
      <w:r w:rsidR="002E7D76">
        <w:tab/>
      </w:r>
      <w:r w:rsidR="002E7D76">
        <w:tab/>
      </w:r>
      <w:r w:rsidR="002E7D76">
        <w:tab/>
      </w:r>
      <w:r w:rsidR="002E7D76">
        <w:tab/>
      </w:r>
      <w:r w:rsidR="002E7D76">
        <w:tab/>
      </w:r>
      <w:r w:rsidR="002E7D76">
        <w:tab/>
      </w:r>
      <w:r w:rsidR="002E7D76">
        <w:tab/>
      </w:r>
      <w:r w:rsidR="002E7D76">
        <w:tab/>
        <w:t>(3)</w:t>
      </w:r>
    </w:p>
    <w:p w:rsidR="00A05B1E" w:rsidRDefault="002E7D76" w:rsidP="00116F69">
      <w:pPr>
        <w:pStyle w:val="NormalWeb"/>
        <w:spacing w:before="115" w:beforeAutospacing="0" w:after="0" w:afterAutospacing="0" w:line="480" w:lineRule="auto"/>
        <w:textAlignment w:val="baseline"/>
      </w:pPr>
      <w:r>
        <w:t>s</w:t>
      </w:r>
      <w:r w:rsidR="00A05B1E">
        <w:t>o</w:t>
      </w:r>
    </w:p>
    <w:p w:rsidR="00A05B1E" w:rsidRDefault="00A05B1E" w:rsidP="00116F69">
      <w:pPr>
        <w:pStyle w:val="NormalWeb"/>
        <w:spacing w:before="115" w:beforeAutospacing="0" w:after="0" w:afterAutospacing="0" w:line="480" w:lineRule="auto"/>
        <w:textAlignment w:val="baseline"/>
      </w:pPr>
      <w:r>
        <w:tab/>
      </w:r>
      <w:r w:rsidRPr="00A05B1E">
        <w:rPr>
          <w:position w:val="-36"/>
        </w:rPr>
        <w:object w:dxaOrig="4660" w:dyaOrig="840">
          <v:shape id="_x0000_i1037" type="#_x0000_t75" style="width:233pt;height:42pt" o:ole="">
            <v:imagedata r:id="rId31" o:title=""/>
          </v:shape>
          <o:OLEObject Type="Embed" ProgID="Equation.DSMT4" ShapeID="_x0000_i1037" DrawAspect="Content" ObjectID="_1528010288" r:id="rId32"/>
        </w:object>
      </w:r>
      <w:r w:rsidR="002E7D76">
        <w:t>.</w:t>
      </w:r>
      <w:r w:rsidR="002E7D76">
        <w:tab/>
      </w:r>
      <w:r w:rsidR="002E7D76">
        <w:tab/>
      </w:r>
      <w:r w:rsidR="002E7D76">
        <w:tab/>
      </w:r>
      <w:r w:rsidR="002E7D76">
        <w:tab/>
      </w:r>
      <w:r w:rsidR="002E7D76">
        <w:tab/>
        <w:t>(4)</w:t>
      </w:r>
    </w:p>
    <w:p w:rsidR="002E7D76" w:rsidRDefault="002E7D76" w:rsidP="00116F69">
      <w:pPr>
        <w:pStyle w:val="NormalWeb"/>
        <w:spacing w:before="115" w:beforeAutospacing="0" w:after="0" w:afterAutospacing="0" w:line="480" w:lineRule="auto"/>
        <w:textAlignment w:val="baseline"/>
      </w:pPr>
      <w:r>
        <w:t>This allows us to write</w:t>
      </w:r>
    </w:p>
    <w:p w:rsidR="002E7D76" w:rsidRDefault="002E7D76" w:rsidP="00116F69">
      <w:pPr>
        <w:pStyle w:val="NormalWeb"/>
        <w:spacing w:before="115" w:beforeAutospacing="0" w:after="0" w:afterAutospacing="0" w:line="480" w:lineRule="auto"/>
        <w:textAlignment w:val="baseline"/>
      </w:pPr>
      <w:r>
        <w:tab/>
      </w:r>
      <w:r w:rsidRPr="002E7D76">
        <w:rPr>
          <w:position w:val="-24"/>
        </w:rPr>
        <w:object w:dxaOrig="1080" w:dyaOrig="620">
          <v:shape id="_x0000_i1038" type="#_x0000_t75" style="width:54pt;height:31pt" o:ole="">
            <v:imagedata r:id="rId33" o:title=""/>
          </v:shape>
          <o:OLEObject Type="Embed" ProgID="Equation.DSMT4" ShapeID="_x0000_i1038" DrawAspect="Content" ObjectID="_1528010289" r:id="rId34"/>
        </w:object>
      </w:r>
      <w:r>
        <w:t>.</w:t>
      </w:r>
      <w:r>
        <w:tab/>
      </w:r>
      <w:r>
        <w:tab/>
      </w:r>
      <w:r>
        <w:tab/>
      </w:r>
      <w:r>
        <w:tab/>
      </w:r>
      <w:r>
        <w:tab/>
      </w:r>
      <w:r>
        <w:tab/>
      </w:r>
      <w:r>
        <w:tab/>
      </w:r>
      <w:r>
        <w:tab/>
      </w:r>
      <w:r>
        <w:tab/>
      </w:r>
      <w:r>
        <w:tab/>
        <w:t>(5)</w:t>
      </w:r>
    </w:p>
    <w:p w:rsidR="002E7D76" w:rsidRDefault="002E7D76" w:rsidP="00116F69">
      <w:pPr>
        <w:pStyle w:val="NormalWeb"/>
        <w:spacing w:before="115" w:beforeAutospacing="0" w:after="0" w:afterAutospacing="0" w:line="480" w:lineRule="auto"/>
        <w:textAlignment w:val="baseline"/>
      </w:pPr>
      <w:r>
        <w:t xml:space="preserve">We may also obtain an unbiased estimator for </w:t>
      </w:r>
      <w:r w:rsidRPr="00116F69">
        <w:rPr>
          <w:position w:val="-12"/>
        </w:rPr>
        <w:object w:dxaOrig="300" w:dyaOrig="360">
          <v:shape id="_x0000_i1039" type="#_x0000_t75" style="width:15pt;height:18pt" o:ole="">
            <v:imagedata r:id="rId23" o:title=""/>
          </v:shape>
          <o:OLEObject Type="Embed" ProgID="Equation.DSMT4" ShapeID="_x0000_i1039" DrawAspect="Content" ObjectID="_1528010290" r:id="rId35"/>
        </w:object>
      </w:r>
      <w:r>
        <w:t>:</w:t>
      </w:r>
    </w:p>
    <w:p w:rsidR="002E7D76" w:rsidRDefault="002E7D76" w:rsidP="00116F69">
      <w:pPr>
        <w:pStyle w:val="NormalWeb"/>
        <w:spacing w:before="115" w:beforeAutospacing="0" w:after="0" w:afterAutospacing="0" w:line="480" w:lineRule="auto"/>
        <w:textAlignment w:val="baseline"/>
      </w:pPr>
      <w:r>
        <w:tab/>
      </w:r>
      <w:r w:rsidRPr="002E7D76">
        <w:rPr>
          <w:position w:val="-24"/>
        </w:rPr>
        <w:object w:dxaOrig="1660" w:dyaOrig="620">
          <v:shape id="_x0000_i1040" type="#_x0000_t75" style="width:83pt;height:31pt" o:ole="">
            <v:imagedata r:id="rId36" o:title=""/>
          </v:shape>
          <o:OLEObject Type="Embed" ProgID="Equation.DSMT4" ShapeID="_x0000_i1040" DrawAspect="Content" ObjectID="_1528010291" r:id="rId37"/>
        </w:object>
      </w:r>
      <w:r>
        <w:t>.</w:t>
      </w:r>
      <w:r>
        <w:tab/>
      </w:r>
      <w:r>
        <w:tab/>
      </w:r>
      <w:r>
        <w:tab/>
      </w:r>
      <w:r>
        <w:tab/>
      </w:r>
      <w:r>
        <w:tab/>
      </w:r>
      <w:r>
        <w:tab/>
      </w:r>
      <w:r>
        <w:tab/>
      </w:r>
      <w:r>
        <w:tab/>
      </w:r>
      <w:r>
        <w:tab/>
        <w:t>(6)</w:t>
      </w:r>
    </w:p>
    <w:p w:rsidR="002E7D76" w:rsidRDefault="00E95922" w:rsidP="00116F69">
      <w:pPr>
        <w:pStyle w:val="NormalWeb"/>
        <w:spacing w:before="115" w:beforeAutospacing="0" w:after="0" w:afterAutospacing="0" w:line="480" w:lineRule="auto"/>
        <w:textAlignment w:val="baseline"/>
      </w:pPr>
      <w:r>
        <w:t>Rewriting</w:t>
      </w:r>
      <w:r w:rsidR="002E7D76">
        <w:t xml:space="preserve"> </w:t>
      </w:r>
      <w:r>
        <w:t>this estimator gives</w:t>
      </w:r>
    </w:p>
    <w:p w:rsidR="00A7440F" w:rsidRDefault="00A7440F" w:rsidP="00116F69">
      <w:pPr>
        <w:pStyle w:val="NormalWeb"/>
        <w:spacing w:before="115" w:beforeAutospacing="0" w:after="0" w:afterAutospacing="0" w:line="480" w:lineRule="auto"/>
        <w:textAlignment w:val="baseline"/>
      </w:pPr>
      <w:r>
        <w:tab/>
      </w:r>
      <w:r w:rsidRPr="00A7440F">
        <w:rPr>
          <w:position w:val="-32"/>
        </w:rPr>
        <w:object w:dxaOrig="3660" w:dyaOrig="740">
          <v:shape id="_x0000_i1041" type="#_x0000_t75" style="width:183pt;height:36.5pt" o:ole="">
            <v:imagedata r:id="rId38" o:title=""/>
          </v:shape>
          <o:OLEObject Type="Embed" ProgID="Equation.DSMT4" ShapeID="_x0000_i1041" DrawAspect="Content" ObjectID="_1528010292" r:id="rId39"/>
        </w:object>
      </w:r>
      <w:r>
        <w:tab/>
      </w:r>
      <w:r>
        <w:tab/>
      </w:r>
      <w:r>
        <w:tab/>
      </w:r>
      <w:r>
        <w:tab/>
      </w:r>
      <w:r>
        <w:tab/>
      </w:r>
      <w:r>
        <w:tab/>
        <w:t>(7)</w:t>
      </w:r>
    </w:p>
    <w:p w:rsidR="00A7440F" w:rsidRDefault="00A7440F" w:rsidP="00116F69">
      <w:pPr>
        <w:pStyle w:val="NormalWeb"/>
        <w:spacing w:before="115" w:beforeAutospacing="0" w:after="0" w:afterAutospacing="0" w:line="480" w:lineRule="auto"/>
        <w:textAlignment w:val="baseline"/>
      </w:pPr>
      <w:r>
        <w:t>Note that the square root of this</w:t>
      </w:r>
      <w:r w:rsidR="00C153E2">
        <w:t xml:space="preserve"> quantity is the familiar RMSEA</w:t>
      </w:r>
      <w:r>
        <w:t xml:space="preserve"> introduced by Steiger and Lind (1980).</w:t>
      </w:r>
    </w:p>
    <w:p w:rsidR="006432F5" w:rsidRDefault="00640641" w:rsidP="009E3AD0">
      <w:pPr>
        <w:pStyle w:val="NormalWeb"/>
        <w:spacing w:before="115" w:beforeAutospacing="0" w:after="0" w:afterAutospacing="0" w:line="480" w:lineRule="auto"/>
        <w:textAlignment w:val="baseline"/>
      </w:pPr>
      <w:r>
        <w:tab/>
        <w:t>The idea that Tuck had</w:t>
      </w:r>
      <w:r w:rsidR="00C153E2">
        <w:t xml:space="preserve"> in our paper</w:t>
      </w:r>
      <w:r>
        <w:t xml:space="preserve"> was to compare the fit for a factor model with </w:t>
      </w:r>
      <w:r w:rsidRPr="00B82645">
        <w:rPr>
          <w:i/>
        </w:rPr>
        <w:t>m</w:t>
      </w:r>
      <w:r>
        <w:t xml:space="preserve"> factors to the fit for a factor model w</w:t>
      </w:r>
      <w:r w:rsidR="006432F5">
        <w:t>ith zero factors (i.e.</w:t>
      </w:r>
      <w:r>
        <w:t xml:space="preserve">, the model assuming independence </w:t>
      </w:r>
      <w:r>
        <w:lastRenderedPageBreak/>
        <w:t xml:space="preserve">among the variables). </w:t>
      </w:r>
      <w:r w:rsidR="005A2128">
        <w:t xml:space="preserve">In our article, the population goodness of fit index for a model with </w:t>
      </w:r>
      <w:r w:rsidR="005A2128" w:rsidRPr="00B82645">
        <w:rPr>
          <w:i/>
        </w:rPr>
        <w:t>m</w:t>
      </w:r>
      <w:r w:rsidR="005A2128">
        <w:t xml:space="preserve"> factors is denoted by </w:t>
      </w:r>
      <w:r w:rsidR="005A2128" w:rsidRPr="00B82645">
        <w:rPr>
          <w:position w:val="-12"/>
        </w:rPr>
        <w:object w:dxaOrig="320" w:dyaOrig="360">
          <v:shape id="_x0000_i1042" type="#_x0000_t75" style="width:15.5pt;height:18pt" o:ole="">
            <v:imagedata r:id="rId40" o:title=""/>
          </v:shape>
          <o:OLEObject Type="Embed" ProgID="Equation.DSMT4" ShapeID="_x0000_i1042" DrawAspect="Content" ObjectID="_1528010293" r:id="rId41"/>
        </w:object>
      </w:r>
      <w:r w:rsidR="005A2128">
        <w:t>. It may be defined as</w:t>
      </w:r>
    </w:p>
    <w:p w:rsidR="00B82645" w:rsidRDefault="00B82645" w:rsidP="0068706C">
      <w:pPr>
        <w:pStyle w:val="NormalWeb"/>
        <w:spacing w:before="115" w:beforeAutospacing="0" w:after="0" w:afterAutospacing="0" w:line="480" w:lineRule="auto"/>
        <w:textAlignment w:val="baseline"/>
      </w:pPr>
      <w:r>
        <w:tab/>
      </w:r>
      <w:r w:rsidRPr="00B82645">
        <w:rPr>
          <w:position w:val="-30"/>
        </w:rPr>
        <w:object w:dxaOrig="1300" w:dyaOrig="680">
          <v:shape id="_x0000_i1043" type="#_x0000_t75" style="width:65.5pt;height:34pt" o:ole="">
            <v:imagedata r:id="rId42" o:title=""/>
          </v:shape>
          <o:OLEObject Type="Embed" ProgID="Equation.DSMT4" ShapeID="_x0000_i1043" DrawAspect="Content" ObjectID="_1528010294" r:id="rId43"/>
        </w:object>
      </w:r>
      <w:r>
        <w:t>.</w:t>
      </w:r>
      <w:r w:rsidR="005A2128">
        <w:tab/>
      </w:r>
      <w:r w:rsidR="005A2128">
        <w:tab/>
      </w:r>
      <w:r w:rsidR="005A2128">
        <w:tab/>
      </w:r>
      <w:r w:rsidR="005A2128">
        <w:tab/>
      </w:r>
      <w:r w:rsidR="005A2128">
        <w:tab/>
      </w:r>
      <w:r w:rsidR="005A2128">
        <w:tab/>
      </w:r>
      <w:r w:rsidR="005A2128">
        <w:tab/>
      </w:r>
      <w:r w:rsidR="005A2128">
        <w:tab/>
      </w:r>
      <w:r w:rsidR="005A2128">
        <w:tab/>
      </w:r>
      <w:r w:rsidR="005A2128">
        <w:tab/>
        <w:t>(8</w:t>
      </w:r>
      <w:r w:rsidR="00986759">
        <w:t>)</w:t>
      </w:r>
    </w:p>
    <w:p w:rsidR="006432F5" w:rsidRDefault="005A2128" w:rsidP="0068706C">
      <w:pPr>
        <w:pStyle w:val="NormalWeb"/>
        <w:spacing w:before="115" w:beforeAutospacing="0" w:after="0" w:afterAutospacing="0" w:line="480" w:lineRule="auto"/>
        <w:textAlignment w:val="baseline"/>
      </w:pPr>
      <w:r>
        <w:t xml:space="preserve">We may </w:t>
      </w:r>
      <w:r w:rsidR="00986759">
        <w:t>write the</w:t>
      </w:r>
      <w:r w:rsidR="006432F5">
        <w:t xml:space="preserve"> estimator</w:t>
      </w:r>
      <w:r w:rsidR="00986759">
        <w:t xml:space="preserve"> </w:t>
      </w:r>
      <w:r>
        <w:t>proposed in our paper</w:t>
      </w:r>
      <w:r w:rsidR="006432F5">
        <w:t xml:space="preserve"> as</w:t>
      </w:r>
    </w:p>
    <w:p w:rsidR="006432F5" w:rsidRDefault="006432F5" w:rsidP="0068706C">
      <w:pPr>
        <w:pStyle w:val="NormalWeb"/>
        <w:spacing w:before="115" w:beforeAutospacing="0" w:after="0" w:afterAutospacing="0" w:line="480" w:lineRule="auto"/>
        <w:textAlignment w:val="baseline"/>
      </w:pPr>
      <w:r>
        <w:tab/>
      </w:r>
      <w:r w:rsidR="001A4C99" w:rsidRPr="006432F5">
        <w:rPr>
          <w:position w:val="-32"/>
        </w:rPr>
        <w:object w:dxaOrig="4900" w:dyaOrig="760">
          <v:shape id="_x0000_i1044" type="#_x0000_t75" style="width:245pt;height:38.5pt" o:ole="">
            <v:imagedata r:id="rId44" o:title=""/>
          </v:shape>
          <o:OLEObject Type="Embed" ProgID="Equation.DSMT4" ShapeID="_x0000_i1044" DrawAspect="Content" ObjectID="_1528010295" r:id="rId45"/>
        </w:object>
      </w:r>
      <w:r w:rsidR="00986759">
        <w:t>.</w:t>
      </w:r>
      <w:r>
        <w:tab/>
      </w:r>
      <w:r w:rsidR="001A4C99">
        <w:tab/>
      </w:r>
      <w:r w:rsidR="001A4C99">
        <w:tab/>
      </w:r>
      <w:r w:rsidR="001A4C99">
        <w:tab/>
      </w:r>
      <w:r w:rsidR="001A4C99">
        <w:tab/>
        <w:t>(9</w:t>
      </w:r>
      <w:r w:rsidR="00986759">
        <w:t>)</w:t>
      </w:r>
    </w:p>
    <w:p w:rsidR="00633936" w:rsidRDefault="005A2128" w:rsidP="0068706C">
      <w:pPr>
        <w:pStyle w:val="NormalWeb"/>
        <w:spacing w:before="115" w:beforeAutospacing="0" w:after="0" w:afterAutospacing="0" w:line="480" w:lineRule="auto"/>
        <w:textAlignment w:val="baseline"/>
      </w:pPr>
      <w:r>
        <w:t xml:space="preserve">In effect, </w:t>
      </w:r>
      <w:r w:rsidR="001A4C99">
        <w:t>this</w:t>
      </w:r>
      <w:r>
        <w:t xml:space="preserve"> index</w:t>
      </w:r>
      <w:r w:rsidR="00633936">
        <w:t xml:space="preserve"> </w:t>
      </w:r>
      <w:r w:rsidR="00C153E2">
        <w:t>compares</w:t>
      </w:r>
      <w:r w:rsidR="00633936">
        <w:t xml:space="preserve"> the mean squared errors of approximation</w:t>
      </w:r>
      <w:r>
        <w:t xml:space="preserve"> (MSEA)</w:t>
      </w:r>
      <w:r w:rsidR="00633936">
        <w:t xml:space="preserve"> for the factor models with zero </w:t>
      </w:r>
      <w:r w:rsidR="003B581D">
        <w:t xml:space="preserve">factors </w:t>
      </w:r>
      <w:r w:rsidR="00633936">
        <w:t>and</w:t>
      </w:r>
      <w:r w:rsidR="003B581D">
        <w:t xml:space="preserve"> with</w:t>
      </w:r>
      <w:r w:rsidR="00633936">
        <w:t xml:space="preserve"> </w:t>
      </w:r>
      <w:r w:rsidR="00633936" w:rsidRPr="00633936">
        <w:rPr>
          <w:i/>
        </w:rPr>
        <w:t>m</w:t>
      </w:r>
      <w:r>
        <w:t xml:space="preserve"> factors, expressed as a</w:t>
      </w:r>
      <w:r w:rsidR="00633936">
        <w:t xml:space="preserve"> proportional</w:t>
      </w:r>
      <w:r>
        <w:t xml:space="preserve"> reduction in MSEA</w:t>
      </w:r>
      <w:r w:rsidR="00633936">
        <w:t>.</w:t>
      </w:r>
      <w:r w:rsidR="006077C0">
        <w:t xml:space="preserve"> As </w:t>
      </w:r>
      <w:r w:rsidR="003B581D">
        <w:t>our paper</w:t>
      </w:r>
      <w:r w:rsidR="006077C0">
        <w:t xml:space="preserve"> says in the concluding paragraph, “It </w:t>
      </w:r>
      <w:r>
        <w:t xml:space="preserve">[the index] </w:t>
      </w:r>
      <w:r w:rsidR="006077C0">
        <w:t>does not appear to provide a criterion as to how many common factors to accept … The number of factors to accept appears to depend on the size of loadings and the meaningfulness of factoring results” (Tucker &amp; Lewis, 1973, p. 9).</w:t>
      </w:r>
    </w:p>
    <w:p w:rsidR="00986759" w:rsidRDefault="00493384" w:rsidP="003B581D">
      <w:pPr>
        <w:pStyle w:val="NormalWeb"/>
        <w:spacing w:before="115" w:beforeAutospacing="0" w:after="0" w:afterAutospacing="0" w:line="480" w:lineRule="auto"/>
        <w:textAlignment w:val="baseline"/>
      </w:pPr>
      <w:r>
        <w:tab/>
        <w:t>Finally, I would like to add a personal note. I came to the University of Illinois at Urbana-Champaign in the summer of 1970.</w:t>
      </w:r>
      <w:r w:rsidR="009059F1">
        <w:t xml:space="preserve"> One of my primary motivations for </w:t>
      </w:r>
      <w:r w:rsidR="003B581D">
        <w:t>joining</w:t>
      </w:r>
      <w:r w:rsidR="006077C0">
        <w:t xml:space="preserve"> Qua</w:t>
      </w:r>
      <w:r w:rsidR="003B581D">
        <w:t xml:space="preserve">ntitative Psychology </w:t>
      </w:r>
      <w:r w:rsidR="009059F1">
        <w:t>wa</w:t>
      </w:r>
      <w:r w:rsidR="0001358E">
        <w:t>s to have the chance to work</w:t>
      </w:r>
      <w:r w:rsidR="009059F1">
        <w:t xml:space="preserve"> with Ledyard Tucker.</w:t>
      </w:r>
      <w:r>
        <w:t xml:space="preserve"> S</w:t>
      </w:r>
      <w:r w:rsidR="0001358E">
        <w:t>ometime that fall, Tuck told</w:t>
      </w:r>
      <w:r>
        <w:t xml:space="preserve"> me that he had been working on a paper on maximum likelihood factor analysis. He </w:t>
      </w:r>
      <w:r w:rsidR="0001358E">
        <w:t>invited me to</w:t>
      </w:r>
      <w:r>
        <w:t xml:space="preserve"> </w:t>
      </w:r>
      <w:r w:rsidR="009059F1">
        <w:t>join him in this project. I was only too happy to accept, b</w:t>
      </w:r>
      <w:r w:rsidR="0001358E">
        <w:t>ut wondered what I might</w:t>
      </w:r>
      <w:r w:rsidR="009059F1">
        <w:t xml:space="preserve"> contribute. Tuck’s answer was that, since I had learned about maximum likelihood factor analysis in a cours</w:t>
      </w:r>
      <w:r w:rsidR="00CC61AE">
        <w:t>e taught at Princeton by Karl Jö</w:t>
      </w:r>
      <w:r w:rsidR="006077C0">
        <w:t>reskog</w:t>
      </w:r>
      <w:r w:rsidR="00633936">
        <w:t xml:space="preserve">, perhaps I could critically </w:t>
      </w:r>
      <w:r w:rsidR="006077C0">
        <w:t>discuss</w:t>
      </w:r>
      <w:r w:rsidR="00633936">
        <w:t xml:space="preserve"> Tuck’s</w:t>
      </w:r>
      <w:r w:rsidR="006077C0">
        <w:t xml:space="preserve"> ideas from the perspective of someone with that training.</w:t>
      </w:r>
      <w:r w:rsidR="003B581D">
        <w:t xml:space="preserve"> </w:t>
      </w:r>
      <w:r w:rsidR="0001358E">
        <w:t xml:space="preserve">In addition, I believe that he wanted to help me get a start on my career in psychometrics. </w:t>
      </w:r>
      <w:r w:rsidR="00633936">
        <w:t xml:space="preserve">This was typical of the kindness and generosity </w:t>
      </w:r>
      <w:r w:rsidR="006077C0">
        <w:t>Tuck</w:t>
      </w:r>
      <w:r w:rsidR="00633936">
        <w:t xml:space="preserve"> showed to all those who knew him.</w:t>
      </w:r>
      <w:r w:rsidR="00CC61AE">
        <w:t xml:space="preserve"> </w:t>
      </w:r>
      <w:r w:rsidR="0001358E">
        <w:t xml:space="preserve">Working with and getting to know Tuck </w:t>
      </w:r>
      <w:r w:rsidR="0001358E">
        <w:lastRenderedPageBreak/>
        <w:t xml:space="preserve">was a wonderful experience. </w:t>
      </w:r>
      <w:r w:rsidR="00CC61AE">
        <w:t>Little di</w:t>
      </w:r>
      <w:r w:rsidR="00633936">
        <w:t>d he (or I) know that our</w:t>
      </w:r>
      <w:r w:rsidR="00CC61AE">
        <w:t xml:space="preserve"> article would take on such a life of its own!</w:t>
      </w:r>
    </w:p>
    <w:p w:rsidR="00326CF6" w:rsidRDefault="00326CF6">
      <w:pPr>
        <w:rPr>
          <w:rFonts w:ascii="Times New Roman" w:eastAsia="Times New Roman" w:hAnsi="Times New Roman" w:cs="Times New Roman"/>
          <w:b/>
          <w:sz w:val="24"/>
          <w:szCs w:val="24"/>
        </w:rPr>
      </w:pPr>
      <w:r>
        <w:rPr>
          <w:b/>
        </w:rPr>
        <w:br w:type="page"/>
      </w:r>
    </w:p>
    <w:p w:rsidR="00CC61AE" w:rsidRPr="00951914" w:rsidRDefault="00CC61AE" w:rsidP="00CC61AE">
      <w:pPr>
        <w:pStyle w:val="NormalWeb"/>
        <w:spacing w:before="115" w:beforeAutospacing="0" w:after="0" w:afterAutospacing="0" w:line="480" w:lineRule="auto"/>
        <w:textAlignment w:val="baseline"/>
        <w:rPr>
          <w:b/>
        </w:rPr>
      </w:pPr>
      <w:r w:rsidRPr="00951914">
        <w:rPr>
          <w:b/>
        </w:rPr>
        <w:lastRenderedPageBreak/>
        <w:t>References</w:t>
      </w:r>
    </w:p>
    <w:p w:rsidR="00CC61AE" w:rsidRDefault="00CC61AE" w:rsidP="00CC61AE">
      <w:pPr>
        <w:pStyle w:val="NormalWeb"/>
        <w:spacing w:before="115" w:beforeAutospacing="0" w:after="0" w:afterAutospacing="0" w:line="480" w:lineRule="auto"/>
        <w:textAlignment w:val="baseline"/>
      </w:pPr>
      <w:r>
        <w:t>Bentler</w:t>
      </w:r>
      <w:r w:rsidR="00951914">
        <w:t>, P. M.,</w:t>
      </w:r>
      <w:r>
        <w:t xml:space="preserve"> &amp; Bonett,</w:t>
      </w:r>
      <w:r w:rsidR="00951914">
        <w:t xml:space="preserve"> D. G. (1980). Significance tests and goodness of fit in the analysis of covariance structures. </w:t>
      </w:r>
      <w:r w:rsidR="00951914" w:rsidRPr="00951914">
        <w:rPr>
          <w:i/>
        </w:rPr>
        <w:t>Psychological Bulletin, 88</w:t>
      </w:r>
      <w:r w:rsidR="00951914">
        <w:t>, 588-606.</w:t>
      </w:r>
    </w:p>
    <w:p w:rsidR="00CC61AE" w:rsidRDefault="00CC61AE" w:rsidP="00CC61AE">
      <w:pPr>
        <w:pStyle w:val="NormalWeb"/>
        <w:spacing w:before="115" w:beforeAutospacing="0" w:after="0" w:afterAutospacing="0" w:line="480" w:lineRule="auto"/>
        <w:textAlignment w:val="baseline"/>
      </w:pPr>
      <w:r>
        <w:t>Dorans,</w:t>
      </w:r>
      <w:r w:rsidR="00951914">
        <w:t xml:space="preserve"> N. J. (</w:t>
      </w:r>
      <w:r>
        <w:t>2004</w:t>
      </w:r>
      <w:r w:rsidR="00951914">
        <w:t xml:space="preserve">). </w:t>
      </w:r>
      <w:r w:rsidR="00951914" w:rsidRPr="00951914">
        <w:rPr>
          <w:i/>
        </w:rPr>
        <w:t xml:space="preserve">A </w:t>
      </w:r>
      <w:r w:rsidR="00951914">
        <w:rPr>
          <w:i/>
        </w:rPr>
        <w:t>c</w:t>
      </w:r>
      <w:r w:rsidR="00951914" w:rsidRPr="00951914">
        <w:rPr>
          <w:i/>
        </w:rPr>
        <w:t>onversation with Ledyard R Tucker</w:t>
      </w:r>
      <w:r w:rsidR="00951914">
        <w:t>. Princeton, NJ: ETS.</w:t>
      </w:r>
    </w:p>
    <w:p w:rsidR="00633936" w:rsidRDefault="00633936" w:rsidP="00CC61AE">
      <w:pPr>
        <w:pStyle w:val="NormalWeb"/>
        <w:spacing w:before="115" w:beforeAutospacing="0" w:after="0" w:afterAutospacing="0" w:line="480" w:lineRule="auto"/>
        <w:textAlignment w:val="baseline"/>
      </w:pPr>
      <w:r>
        <w:t>Gulliksen</w:t>
      </w:r>
      <w:r w:rsidR="00951914">
        <w:t>, H.,</w:t>
      </w:r>
      <w:r>
        <w:t xml:space="preserve"> &amp; Tukey,</w:t>
      </w:r>
      <w:r w:rsidR="00951914">
        <w:t xml:space="preserve"> J. W.</w:t>
      </w:r>
      <w:r>
        <w:t xml:space="preserve"> </w:t>
      </w:r>
      <w:r w:rsidR="00951914">
        <w:t>(</w:t>
      </w:r>
      <w:r>
        <w:t>1958</w:t>
      </w:r>
      <w:r w:rsidR="00951914">
        <w:t xml:space="preserve">). Reliability for the law of comparative judgment. </w:t>
      </w:r>
      <w:r w:rsidR="00951914" w:rsidRPr="00951914">
        <w:rPr>
          <w:i/>
        </w:rPr>
        <w:t>Psychometrika, 23</w:t>
      </w:r>
      <w:r w:rsidR="00951914">
        <w:t>, 95-110.</w:t>
      </w:r>
    </w:p>
    <w:p w:rsidR="00CC61AE" w:rsidRPr="00C27BAE" w:rsidRDefault="00CC61AE" w:rsidP="00CC61AE">
      <w:pPr>
        <w:pStyle w:val="NormalWeb"/>
        <w:spacing w:before="115" w:beforeAutospacing="0" w:after="0" w:afterAutospacing="0" w:line="480" w:lineRule="auto"/>
        <w:textAlignment w:val="baseline"/>
      </w:pPr>
      <w:r>
        <w:t>Jöreskog,</w:t>
      </w:r>
      <w:r w:rsidR="00951914">
        <w:t xml:space="preserve"> K. G.</w:t>
      </w:r>
      <w:r>
        <w:t xml:space="preserve"> </w:t>
      </w:r>
      <w:r w:rsidR="00951914">
        <w:t>(</w:t>
      </w:r>
      <w:r>
        <w:t>1967</w:t>
      </w:r>
      <w:r w:rsidR="00951914">
        <w:t>). Some contributions to maximum likelihood factor analysis.</w:t>
      </w:r>
      <w:r w:rsidR="00C27BAE">
        <w:t xml:space="preserve"> </w:t>
      </w:r>
      <w:r w:rsidR="00C27BAE" w:rsidRPr="00951914">
        <w:rPr>
          <w:i/>
        </w:rPr>
        <w:t xml:space="preserve">Psychometrika, </w:t>
      </w:r>
      <w:r w:rsidR="00C27BAE">
        <w:rPr>
          <w:i/>
        </w:rPr>
        <w:t>32</w:t>
      </w:r>
      <w:r w:rsidR="00C27BAE">
        <w:t>, 443-482.</w:t>
      </w:r>
    </w:p>
    <w:p w:rsidR="00CC61AE" w:rsidRPr="00C27BAE" w:rsidRDefault="00CC61AE" w:rsidP="00CC61AE">
      <w:pPr>
        <w:pStyle w:val="NormalWeb"/>
        <w:spacing w:before="115" w:beforeAutospacing="0" w:after="0" w:afterAutospacing="0" w:line="480" w:lineRule="auto"/>
        <w:textAlignment w:val="baseline"/>
      </w:pPr>
      <w:r>
        <w:t>Mosteller</w:t>
      </w:r>
      <w:r w:rsidR="00C27BAE">
        <w:t>, F.</w:t>
      </w:r>
      <w:r>
        <w:t xml:space="preserve"> (1951)</w:t>
      </w:r>
      <w:r w:rsidR="00C27BAE">
        <w:t xml:space="preserve">. Remarks on the method of paired comparisons, III. A test of significance for paired comparisons when equal standard deviations and equal correlations are assumed. </w:t>
      </w:r>
      <w:r w:rsidR="00C27BAE" w:rsidRPr="00951914">
        <w:rPr>
          <w:i/>
        </w:rPr>
        <w:t xml:space="preserve">Psychometrika, </w:t>
      </w:r>
      <w:r w:rsidR="00C27BAE">
        <w:rPr>
          <w:i/>
        </w:rPr>
        <w:t>16</w:t>
      </w:r>
      <w:r w:rsidR="00C27BAE">
        <w:t>, 207-218.</w:t>
      </w:r>
    </w:p>
    <w:p w:rsidR="00633936" w:rsidRDefault="00633936" w:rsidP="00633936">
      <w:pPr>
        <w:pStyle w:val="NormalWeb"/>
        <w:spacing w:before="115" w:beforeAutospacing="0" w:after="0" w:afterAutospacing="0" w:line="480" w:lineRule="auto"/>
        <w:textAlignment w:val="baseline"/>
      </w:pPr>
      <w:r>
        <w:t>Steiger</w:t>
      </w:r>
      <w:r w:rsidR="005C42DA">
        <w:t xml:space="preserve">, J. H., &amp; </w:t>
      </w:r>
      <w:r>
        <w:t>Lind</w:t>
      </w:r>
      <w:r w:rsidR="005C42DA">
        <w:t xml:space="preserve">, J. </w:t>
      </w:r>
      <w:r w:rsidR="00AE18E2">
        <w:t>M</w:t>
      </w:r>
      <w:r w:rsidR="005C42DA">
        <w:t>.</w:t>
      </w:r>
      <w:r>
        <w:t xml:space="preserve"> (1980).</w:t>
      </w:r>
      <w:r w:rsidR="005C42DA">
        <w:t xml:space="preserve"> Statistically</w:t>
      </w:r>
      <w:r w:rsidR="00AE18E2">
        <w:t>-</w:t>
      </w:r>
      <w:r w:rsidR="005C42DA">
        <w:t>based tests for the number of common factors.</w:t>
      </w:r>
      <w:r w:rsidR="00AE18E2">
        <w:t xml:space="preserve"> Paper presented at Psychometric Society Meeting, Iowa City, IA.</w:t>
      </w:r>
    </w:p>
    <w:p w:rsidR="00326CF6" w:rsidRDefault="00326CF6" w:rsidP="00633936">
      <w:pPr>
        <w:pStyle w:val="NormalWeb"/>
        <w:spacing w:before="115" w:beforeAutospacing="0" w:after="0" w:afterAutospacing="0" w:line="480" w:lineRule="auto"/>
        <w:textAlignment w:val="baseline"/>
      </w:pPr>
      <w:r>
        <w:t>Tucker, L. R (1958). An inter-battery method of factor analysis.</w:t>
      </w:r>
      <w:r w:rsidRPr="00326CF6">
        <w:rPr>
          <w:i/>
        </w:rPr>
        <w:t xml:space="preserve"> </w:t>
      </w:r>
      <w:r w:rsidRPr="00951914">
        <w:rPr>
          <w:i/>
        </w:rPr>
        <w:t>Psychometrika, 23</w:t>
      </w:r>
      <w:r>
        <w:t>, 111-136.</w:t>
      </w:r>
    </w:p>
    <w:p w:rsidR="00101E1B" w:rsidRDefault="00101E1B" w:rsidP="00633936">
      <w:pPr>
        <w:pStyle w:val="NormalWeb"/>
        <w:spacing w:before="115" w:beforeAutospacing="0" w:after="0" w:afterAutospacing="0" w:line="480" w:lineRule="auto"/>
        <w:textAlignment w:val="baseline"/>
      </w:pPr>
      <w:r>
        <w:t>Tucker, L. R (1958).</w:t>
      </w:r>
      <w:r w:rsidRPr="00101E1B">
        <w:t xml:space="preserve"> </w:t>
      </w:r>
      <w:r>
        <w:t xml:space="preserve">Determination of parameters of a functional relation by factor analysis. </w:t>
      </w:r>
      <w:r w:rsidRPr="00951914">
        <w:rPr>
          <w:i/>
        </w:rPr>
        <w:t>Psychometrika, 23</w:t>
      </w:r>
      <w:r>
        <w:t>, 19-23.</w:t>
      </w:r>
    </w:p>
    <w:p w:rsidR="00101E1B" w:rsidRDefault="00101E1B" w:rsidP="00633936">
      <w:pPr>
        <w:pStyle w:val="NormalWeb"/>
        <w:spacing w:before="115" w:beforeAutospacing="0" w:after="0" w:afterAutospacing="0" w:line="480" w:lineRule="auto"/>
        <w:textAlignment w:val="baseline"/>
      </w:pPr>
      <w:r>
        <w:t>Tucker, L. R, &amp; Messick, S. (1963). An individual differences model for multidimensional scaling.</w:t>
      </w:r>
      <w:r w:rsidRPr="00101E1B">
        <w:rPr>
          <w:i/>
        </w:rPr>
        <w:t xml:space="preserve"> </w:t>
      </w:r>
      <w:r w:rsidRPr="00951914">
        <w:rPr>
          <w:i/>
        </w:rPr>
        <w:t xml:space="preserve">Psychometrika, </w:t>
      </w:r>
      <w:r>
        <w:rPr>
          <w:i/>
        </w:rPr>
        <w:t>28</w:t>
      </w:r>
      <w:r>
        <w:t>, 333-</w:t>
      </w:r>
      <w:r w:rsidR="005C42DA">
        <w:t>367</w:t>
      </w:r>
      <w:r>
        <w:t>.</w:t>
      </w:r>
    </w:p>
    <w:p w:rsidR="00326CF6" w:rsidRDefault="00326CF6" w:rsidP="00633936">
      <w:pPr>
        <w:pStyle w:val="NormalWeb"/>
        <w:spacing w:before="115" w:beforeAutospacing="0" w:after="0" w:afterAutospacing="0" w:line="480" w:lineRule="auto"/>
        <w:textAlignment w:val="baseline"/>
      </w:pPr>
      <w:r>
        <w:t xml:space="preserve">Tucker, L. R (1966). Some mathematical notes on three-mode factor analysis. </w:t>
      </w:r>
      <w:r w:rsidRPr="00951914">
        <w:rPr>
          <w:i/>
        </w:rPr>
        <w:t xml:space="preserve">Psychometrika, </w:t>
      </w:r>
      <w:r>
        <w:rPr>
          <w:i/>
        </w:rPr>
        <w:t>3</w:t>
      </w:r>
      <w:r w:rsidR="00101E1B">
        <w:rPr>
          <w:i/>
        </w:rPr>
        <w:t>1</w:t>
      </w:r>
      <w:r w:rsidR="00101E1B">
        <w:t>, 279-311.</w:t>
      </w:r>
    </w:p>
    <w:p w:rsidR="00CA69AF" w:rsidRDefault="00326CF6" w:rsidP="00633936">
      <w:pPr>
        <w:pStyle w:val="NormalWeb"/>
        <w:spacing w:before="115" w:beforeAutospacing="0" w:after="0" w:afterAutospacing="0" w:line="480" w:lineRule="auto"/>
        <w:textAlignment w:val="baseline"/>
      </w:pPr>
      <w:r>
        <w:lastRenderedPageBreak/>
        <w:t xml:space="preserve">Tucker, L. R, Koopman, R. F., &amp; Linn, R. L. (1969). Evaluation of factor analytic research </w:t>
      </w:r>
      <w:r w:rsidR="00EA3CCE">
        <w:t xml:space="preserve">procedures </w:t>
      </w:r>
      <w:r>
        <w:t>by means of simulated correlation matrices.</w:t>
      </w:r>
      <w:r w:rsidRPr="00326CF6">
        <w:rPr>
          <w:i/>
        </w:rPr>
        <w:t xml:space="preserve"> </w:t>
      </w:r>
      <w:r w:rsidRPr="00951914">
        <w:rPr>
          <w:i/>
        </w:rPr>
        <w:t xml:space="preserve">Psychometrika, </w:t>
      </w:r>
      <w:r>
        <w:rPr>
          <w:i/>
        </w:rPr>
        <w:t>34</w:t>
      </w:r>
      <w:r w:rsidR="009963EB">
        <w:t>, 421-4</w:t>
      </w:r>
      <w:r>
        <w:t>59.</w:t>
      </w:r>
    </w:p>
    <w:p w:rsidR="00CA69AF" w:rsidRDefault="00CA69AF">
      <w:pPr>
        <w:rPr>
          <w:rFonts w:ascii="Times New Roman" w:eastAsia="Times New Roman" w:hAnsi="Times New Roman" w:cs="Times New Roman"/>
          <w:sz w:val="24"/>
          <w:szCs w:val="24"/>
        </w:rPr>
      </w:pPr>
      <w:r>
        <w:br w:type="page"/>
      </w:r>
    </w:p>
    <w:p w:rsidR="00326CF6" w:rsidRDefault="00326CF6" w:rsidP="00633936">
      <w:pPr>
        <w:pStyle w:val="NormalWeb"/>
        <w:spacing w:before="115" w:beforeAutospacing="0" w:after="0" w:afterAutospacing="0" w:line="480" w:lineRule="auto"/>
        <w:textAlignment w:val="baseline"/>
      </w:pPr>
    </w:p>
    <w:p w:rsidR="00326CF6" w:rsidRPr="005C42DA" w:rsidRDefault="00326CF6" w:rsidP="005C42DA">
      <w:pPr>
        <w:rPr>
          <w:rFonts w:ascii="Times New Roman" w:eastAsia="Times New Roman" w:hAnsi="Times New Roman" w:cs="Times New Roman"/>
          <w:sz w:val="24"/>
          <w:szCs w:val="24"/>
        </w:rPr>
      </w:pPr>
    </w:p>
    <w:p w:rsidR="00CC61AE" w:rsidRDefault="00BF4E5E" w:rsidP="00CC61AE">
      <w:pPr>
        <w:pStyle w:val="NormalWeb"/>
        <w:spacing w:before="115" w:beforeAutospacing="0" w:after="0" w:afterAutospacing="0" w:line="480" w:lineRule="auto"/>
        <w:textAlignment w:val="baseline"/>
      </w:pPr>
      <w:r w:rsidRPr="00BF4E5E">
        <w:rPr>
          <w:noProof/>
        </w:rPr>
        <w:drawing>
          <wp:inline distT="0" distB="0" distL="0" distR="0">
            <wp:extent cx="5358748" cy="2934270"/>
            <wp:effectExtent l="19050" t="0" r="1335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51914" w:rsidRDefault="00951914" w:rsidP="00BF4E5E">
      <w:pPr>
        <w:pStyle w:val="NormalWeb"/>
        <w:spacing w:before="115" w:beforeAutospacing="0" w:after="0" w:afterAutospacing="0" w:line="480" w:lineRule="auto"/>
        <w:textAlignment w:val="baseline"/>
      </w:pPr>
    </w:p>
    <w:p w:rsidR="00BF4E5E" w:rsidRDefault="00BF4E5E" w:rsidP="00BF4E5E">
      <w:pPr>
        <w:pStyle w:val="NormalWeb"/>
        <w:spacing w:before="115" w:beforeAutospacing="0" w:after="0" w:afterAutospacing="0" w:line="480" w:lineRule="auto"/>
        <w:textAlignment w:val="baseline"/>
      </w:pPr>
      <w:r>
        <w:t>Figure 1. Numbers of citations for Tucker &amp; Lewis (1973)</w:t>
      </w:r>
      <w:r w:rsidR="00CA69AF">
        <w:t xml:space="preserve"> article</w:t>
      </w:r>
      <w:r>
        <w:t xml:space="preserve"> in five-year intervals.</w:t>
      </w:r>
    </w:p>
    <w:p w:rsidR="00BF4E5E" w:rsidRPr="0068706C" w:rsidRDefault="00BF4E5E" w:rsidP="00CC61AE">
      <w:pPr>
        <w:pStyle w:val="NormalWeb"/>
        <w:spacing w:before="115" w:beforeAutospacing="0" w:after="0" w:afterAutospacing="0" w:line="480" w:lineRule="auto"/>
        <w:textAlignment w:val="baseline"/>
      </w:pPr>
    </w:p>
    <w:sectPr w:rsidR="00BF4E5E" w:rsidRPr="0068706C" w:rsidSect="00DE1456">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8D" w:rsidRDefault="00687D8D" w:rsidP="003C299A">
      <w:pPr>
        <w:spacing w:after="0" w:line="240" w:lineRule="auto"/>
      </w:pPr>
      <w:r>
        <w:separator/>
      </w:r>
    </w:p>
  </w:endnote>
  <w:endnote w:type="continuationSeparator" w:id="0">
    <w:p w:rsidR="00687D8D" w:rsidRDefault="00687D8D" w:rsidP="003C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8D" w:rsidRDefault="00687D8D" w:rsidP="003C299A">
      <w:pPr>
        <w:spacing w:after="0" w:line="240" w:lineRule="auto"/>
      </w:pPr>
      <w:r>
        <w:separator/>
      </w:r>
    </w:p>
  </w:footnote>
  <w:footnote w:type="continuationSeparator" w:id="0">
    <w:p w:rsidR="00687D8D" w:rsidRDefault="00687D8D" w:rsidP="003C299A">
      <w:pPr>
        <w:spacing w:after="0" w:line="240" w:lineRule="auto"/>
      </w:pPr>
      <w:r>
        <w:continuationSeparator/>
      </w:r>
    </w:p>
  </w:footnote>
  <w:footnote w:id="1">
    <w:p w:rsidR="00326CF6" w:rsidRPr="003C299A" w:rsidRDefault="00326CF6">
      <w:pPr>
        <w:pStyle w:val="FootnoteText"/>
        <w:rPr>
          <w:rFonts w:ascii="Times New Roman" w:hAnsi="Times New Roman" w:cs="Times New Roman"/>
          <w:sz w:val="24"/>
          <w:szCs w:val="24"/>
        </w:rPr>
      </w:pPr>
      <w:r w:rsidRPr="003C299A">
        <w:rPr>
          <w:rStyle w:val="FootnoteReference"/>
          <w:rFonts w:ascii="Times New Roman" w:hAnsi="Times New Roman" w:cs="Times New Roman"/>
          <w:sz w:val="24"/>
          <w:szCs w:val="24"/>
        </w:rPr>
        <w:footnoteRef/>
      </w:r>
      <w:r w:rsidRPr="003C299A">
        <w:rPr>
          <w:rFonts w:ascii="Times New Roman" w:hAnsi="Times New Roman" w:cs="Times New Roman"/>
          <w:sz w:val="24"/>
          <w:szCs w:val="24"/>
        </w:rPr>
        <w:t xml:space="preserve"> We actually use</w:t>
      </w:r>
      <w:r w:rsidR="002C5B41">
        <w:rPr>
          <w:rFonts w:ascii="Times New Roman" w:hAnsi="Times New Roman" w:cs="Times New Roman"/>
          <w:sz w:val="24"/>
          <w:szCs w:val="24"/>
        </w:rPr>
        <w:t>d</w:t>
      </w:r>
      <w:r>
        <w:rPr>
          <w:rFonts w:ascii="Times New Roman" w:hAnsi="Times New Roman" w:cs="Times New Roman"/>
          <w:sz w:val="24"/>
          <w:szCs w:val="24"/>
        </w:rPr>
        <w:t xml:space="preserve"> </w:t>
      </w:r>
      <w:r w:rsidRPr="003C299A">
        <w:rPr>
          <w:rFonts w:ascii="Times New Roman" w:hAnsi="Times New Roman" w:cs="Times New Roman"/>
          <w:position w:val="-14"/>
          <w:sz w:val="24"/>
          <w:szCs w:val="24"/>
        </w:rPr>
        <w:object w:dxaOrig="2820" w:dyaOrig="400">
          <v:shape id="_x0000_i1046" type="#_x0000_t75" style="width:141pt;height:20.5pt" o:ole="">
            <v:imagedata r:id="rId1" o:title=""/>
          </v:shape>
          <o:OLEObject Type="Embed" ProgID="Equation.DSMT4" ShapeID="_x0000_i1046" DrawAspect="Content" ObjectID="_1528010296" r:id="rId2"/>
        </w:object>
      </w:r>
      <w:r w:rsidRPr="003C299A">
        <w:rPr>
          <w:rFonts w:ascii="Times New Roman" w:hAnsi="Times New Roman" w:cs="Times New Roman"/>
          <w:sz w:val="24"/>
          <w:szCs w:val="24"/>
        </w:rPr>
        <w:t xml:space="preserve">, where </w:t>
      </w:r>
      <w:r w:rsidRPr="003C299A">
        <w:rPr>
          <w:rFonts w:ascii="Times New Roman" w:hAnsi="Times New Roman" w:cs="Times New Roman"/>
          <w:i/>
          <w:sz w:val="24"/>
          <w:szCs w:val="24"/>
        </w:rPr>
        <w:t>n</w:t>
      </w:r>
      <w:r w:rsidRPr="003C299A">
        <w:rPr>
          <w:rFonts w:ascii="Times New Roman" w:hAnsi="Times New Roman" w:cs="Times New Roman"/>
          <w:sz w:val="24"/>
          <w:szCs w:val="24"/>
        </w:rPr>
        <w:t xml:space="preserve"> is the number of variables</w:t>
      </w:r>
      <w:r>
        <w:rPr>
          <w:rFonts w:ascii="Times New Roman" w:hAnsi="Times New Roman" w:cs="Times New Roman"/>
          <w:sz w:val="24"/>
          <w:szCs w:val="24"/>
        </w:rPr>
        <w:t xml:space="preserve">, but all subsequent work uses </w:t>
      </w:r>
      <w:r w:rsidRPr="003C299A">
        <w:rPr>
          <w:rFonts w:ascii="Times New Roman" w:hAnsi="Times New Roman" w:cs="Times New Roman"/>
          <w:position w:val="-6"/>
          <w:sz w:val="24"/>
          <w:szCs w:val="24"/>
        </w:rPr>
        <w:object w:dxaOrig="560" w:dyaOrig="279">
          <v:shape id="_x0000_i1048" type="#_x0000_t75" style="width:27.5pt;height:14.5pt" o:ole="">
            <v:imagedata r:id="rId3" o:title=""/>
          </v:shape>
          <o:OLEObject Type="Embed" ProgID="Equation.DSMT4" ShapeID="_x0000_i1048" DrawAspect="Content" ObjectID="_1528010297" r:id="rId4"/>
        </w:object>
      </w:r>
      <w:r>
        <w:rPr>
          <w:rFonts w:ascii="Times New Roman" w:hAnsi="Times New Roman" w:cs="Times New Roman"/>
          <w:sz w:val="24"/>
          <w:szCs w:val="24"/>
        </w:rPr>
        <w:t>, so that is what I do here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307539"/>
      <w:docPartObj>
        <w:docPartGallery w:val="Page Numbers (Top of Page)"/>
        <w:docPartUnique/>
      </w:docPartObj>
    </w:sdtPr>
    <w:sdtEndPr/>
    <w:sdtContent>
      <w:p w:rsidR="00326CF6" w:rsidRPr="00CC61AE" w:rsidRDefault="00CA69AF">
        <w:pPr>
          <w:pStyle w:val="Header"/>
          <w:jc w:val="right"/>
          <w:rPr>
            <w:rFonts w:ascii="Times New Roman" w:hAnsi="Times New Roman" w:cs="Times New Roman"/>
            <w:sz w:val="24"/>
            <w:szCs w:val="24"/>
          </w:rPr>
        </w:pPr>
        <w:r>
          <w:rPr>
            <w:rFonts w:ascii="Times New Roman" w:hAnsi="Times New Roman" w:cs="Times New Roman"/>
            <w:sz w:val="24"/>
            <w:szCs w:val="24"/>
          </w:rPr>
          <w:t>T&amp;L</w:t>
        </w:r>
        <w:r w:rsidR="00326CF6" w:rsidRPr="00CC61AE">
          <w:rPr>
            <w:rFonts w:ascii="Times New Roman" w:hAnsi="Times New Roman" w:cs="Times New Roman"/>
            <w:sz w:val="24"/>
            <w:szCs w:val="24"/>
          </w:rPr>
          <w:t xml:space="preserve"> article</w:t>
        </w:r>
        <w:r>
          <w:rPr>
            <w:rFonts w:ascii="Times New Roman" w:hAnsi="Times New Roman" w:cs="Times New Roman"/>
            <w:sz w:val="24"/>
            <w:szCs w:val="24"/>
          </w:rPr>
          <w:t>, draft of 6/16</w:t>
        </w:r>
        <w:r w:rsidR="00326CF6">
          <w:rPr>
            <w:rFonts w:ascii="Times New Roman" w:hAnsi="Times New Roman" w:cs="Times New Roman"/>
            <w:sz w:val="24"/>
            <w:szCs w:val="24"/>
          </w:rPr>
          <w:t>/</w:t>
        </w:r>
        <w:r>
          <w:rPr>
            <w:rFonts w:ascii="Times New Roman" w:hAnsi="Times New Roman" w:cs="Times New Roman"/>
            <w:sz w:val="24"/>
            <w:szCs w:val="24"/>
          </w:rPr>
          <w:t>20</w:t>
        </w:r>
        <w:r w:rsidR="00326CF6">
          <w:rPr>
            <w:rFonts w:ascii="Times New Roman" w:hAnsi="Times New Roman" w:cs="Times New Roman"/>
            <w:sz w:val="24"/>
            <w:szCs w:val="24"/>
          </w:rPr>
          <w:t>16, p.</w:t>
        </w:r>
        <w:r w:rsidR="00326CF6" w:rsidRPr="00CC61AE">
          <w:rPr>
            <w:rFonts w:ascii="Times New Roman" w:hAnsi="Times New Roman" w:cs="Times New Roman"/>
            <w:sz w:val="24"/>
            <w:szCs w:val="24"/>
          </w:rPr>
          <w:t xml:space="preserve"> </w:t>
        </w:r>
        <w:r w:rsidR="00326CF6" w:rsidRPr="00CC61AE">
          <w:rPr>
            <w:rFonts w:ascii="Times New Roman" w:hAnsi="Times New Roman" w:cs="Times New Roman"/>
            <w:sz w:val="24"/>
            <w:szCs w:val="24"/>
          </w:rPr>
          <w:fldChar w:fldCharType="begin"/>
        </w:r>
        <w:r w:rsidR="00326CF6" w:rsidRPr="00CC61AE">
          <w:rPr>
            <w:rFonts w:ascii="Times New Roman" w:hAnsi="Times New Roman" w:cs="Times New Roman"/>
            <w:sz w:val="24"/>
            <w:szCs w:val="24"/>
          </w:rPr>
          <w:instrText xml:space="preserve"> PAGE   \* MERGEFORMAT </w:instrText>
        </w:r>
        <w:r w:rsidR="00326CF6" w:rsidRPr="00CC61AE">
          <w:rPr>
            <w:rFonts w:ascii="Times New Roman" w:hAnsi="Times New Roman" w:cs="Times New Roman"/>
            <w:sz w:val="24"/>
            <w:szCs w:val="24"/>
          </w:rPr>
          <w:fldChar w:fldCharType="separate"/>
        </w:r>
        <w:r w:rsidR="00412B04">
          <w:rPr>
            <w:rFonts w:ascii="Times New Roman" w:hAnsi="Times New Roman" w:cs="Times New Roman"/>
            <w:noProof/>
            <w:sz w:val="24"/>
            <w:szCs w:val="24"/>
          </w:rPr>
          <w:t>1</w:t>
        </w:r>
        <w:r w:rsidR="00326CF6" w:rsidRPr="00CC61AE">
          <w:rPr>
            <w:rFonts w:ascii="Times New Roman" w:hAnsi="Times New Roman" w:cs="Times New Roman"/>
            <w:sz w:val="24"/>
            <w:szCs w:val="24"/>
          </w:rPr>
          <w:fldChar w:fldCharType="end"/>
        </w:r>
      </w:p>
    </w:sdtContent>
  </w:sdt>
  <w:p w:rsidR="00326CF6" w:rsidRDefault="00326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6C"/>
    <w:rsid w:val="0000023D"/>
    <w:rsid w:val="00000DC1"/>
    <w:rsid w:val="000012A3"/>
    <w:rsid w:val="0000203C"/>
    <w:rsid w:val="000047CB"/>
    <w:rsid w:val="00005856"/>
    <w:rsid w:val="000065A1"/>
    <w:rsid w:val="00006ADC"/>
    <w:rsid w:val="00007472"/>
    <w:rsid w:val="0000790F"/>
    <w:rsid w:val="00010680"/>
    <w:rsid w:val="0001358E"/>
    <w:rsid w:val="00013C44"/>
    <w:rsid w:val="000143D7"/>
    <w:rsid w:val="00016645"/>
    <w:rsid w:val="00016B95"/>
    <w:rsid w:val="00017C37"/>
    <w:rsid w:val="0002107E"/>
    <w:rsid w:val="00021A12"/>
    <w:rsid w:val="00022A6E"/>
    <w:rsid w:val="00024514"/>
    <w:rsid w:val="00027AA1"/>
    <w:rsid w:val="00041F16"/>
    <w:rsid w:val="000423C5"/>
    <w:rsid w:val="0005411E"/>
    <w:rsid w:val="00054AD1"/>
    <w:rsid w:val="00057B31"/>
    <w:rsid w:val="00057FD3"/>
    <w:rsid w:val="00062D8F"/>
    <w:rsid w:val="000709F0"/>
    <w:rsid w:val="00071004"/>
    <w:rsid w:val="000728C1"/>
    <w:rsid w:val="0007326B"/>
    <w:rsid w:val="00073CE7"/>
    <w:rsid w:val="00076823"/>
    <w:rsid w:val="00076A3E"/>
    <w:rsid w:val="0008017D"/>
    <w:rsid w:val="00081A41"/>
    <w:rsid w:val="00084490"/>
    <w:rsid w:val="00086243"/>
    <w:rsid w:val="00093D67"/>
    <w:rsid w:val="000A0A28"/>
    <w:rsid w:val="000A17CF"/>
    <w:rsid w:val="000A1B43"/>
    <w:rsid w:val="000A2DC3"/>
    <w:rsid w:val="000A4DFE"/>
    <w:rsid w:val="000A6F82"/>
    <w:rsid w:val="000A705A"/>
    <w:rsid w:val="000B1583"/>
    <w:rsid w:val="000B700C"/>
    <w:rsid w:val="000C096D"/>
    <w:rsid w:val="000C1850"/>
    <w:rsid w:val="000C2F09"/>
    <w:rsid w:val="000C686C"/>
    <w:rsid w:val="000C69E3"/>
    <w:rsid w:val="000D0D12"/>
    <w:rsid w:val="000D0F9A"/>
    <w:rsid w:val="000D1ECC"/>
    <w:rsid w:val="000D597D"/>
    <w:rsid w:val="000D7E47"/>
    <w:rsid w:val="000E6D84"/>
    <w:rsid w:val="000E7B35"/>
    <w:rsid w:val="000F184E"/>
    <w:rsid w:val="000F2825"/>
    <w:rsid w:val="000F2EE3"/>
    <w:rsid w:val="000F564D"/>
    <w:rsid w:val="000F7473"/>
    <w:rsid w:val="000F757E"/>
    <w:rsid w:val="000F7D2E"/>
    <w:rsid w:val="0010096A"/>
    <w:rsid w:val="00101E1B"/>
    <w:rsid w:val="001034BC"/>
    <w:rsid w:val="001058E6"/>
    <w:rsid w:val="001130CB"/>
    <w:rsid w:val="0011521A"/>
    <w:rsid w:val="00115461"/>
    <w:rsid w:val="00116B19"/>
    <w:rsid w:val="00116F69"/>
    <w:rsid w:val="00122EE4"/>
    <w:rsid w:val="00130694"/>
    <w:rsid w:val="00132837"/>
    <w:rsid w:val="00133313"/>
    <w:rsid w:val="00133517"/>
    <w:rsid w:val="0013410A"/>
    <w:rsid w:val="00135E69"/>
    <w:rsid w:val="001372D4"/>
    <w:rsid w:val="001373AE"/>
    <w:rsid w:val="00140F89"/>
    <w:rsid w:val="001417E9"/>
    <w:rsid w:val="0014672A"/>
    <w:rsid w:val="001472CC"/>
    <w:rsid w:val="00147BAF"/>
    <w:rsid w:val="00150155"/>
    <w:rsid w:val="0015170D"/>
    <w:rsid w:val="001520AC"/>
    <w:rsid w:val="001562B3"/>
    <w:rsid w:val="00156BA5"/>
    <w:rsid w:val="00156F04"/>
    <w:rsid w:val="00157379"/>
    <w:rsid w:val="00160252"/>
    <w:rsid w:val="00162759"/>
    <w:rsid w:val="0016279F"/>
    <w:rsid w:val="00163B57"/>
    <w:rsid w:val="00166FDD"/>
    <w:rsid w:val="00167A68"/>
    <w:rsid w:val="0017060B"/>
    <w:rsid w:val="0018281C"/>
    <w:rsid w:val="00190557"/>
    <w:rsid w:val="00191D09"/>
    <w:rsid w:val="001927B0"/>
    <w:rsid w:val="00193AEE"/>
    <w:rsid w:val="00194E8E"/>
    <w:rsid w:val="00195857"/>
    <w:rsid w:val="00195C96"/>
    <w:rsid w:val="001A0DFA"/>
    <w:rsid w:val="001A0F86"/>
    <w:rsid w:val="001A15FE"/>
    <w:rsid w:val="001A4C99"/>
    <w:rsid w:val="001A56BA"/>
    <w:rsid w:val="001A5A65"/>
    <w:rsid w:val="001A5CB2"/>
    <w:rsid w:val="001A6C97"/>
    <w:rsid w:val="001B087F"/>
    <w:rsid w:val="001B0C4C"/>
    <w:rsid w:val="001B404A"/>
    <w:rsid w:val="001B71BD"/>
    <w:rsid w:val="001B7C52"/>
    <w:rsid w:val="001C127F"/>
    <w:rsid w:val="001C2C74"/>
    <w:rsid w:val="001C489E"/>
    <w:rsid w:val="001D11A0"/>
    <w:rsid w:val="001D55BC"/>
    <w:rsid w:val="001D6448"/>
    <w:rsid w:val="001E04B1"/>
    <w:rsid w:val="001E095F"/>
    <w:rsid w:val="001E419B"/>
    <w:rsid w:val="001E46FE"/>
    <w:rsid w:val="001F3E0F"/>
    <w:rsid w:val="001F411B"/>
    <w:rsid w:val="002005B0"/>
    <w:rsid w:val="00200B33"/>
    <w:rsid w:val="00203921"/>
    <w:rsid w:val="00205836"/>
    <w:rsid w:val="002074A6"/>
    <w:rsid w:val="00207ABA"/>
    <w:rsid w:val="002108C2"/>
    <w:rsid w:val="002120FE"/>
    <w:rsid w:val="00216C91"/>
    <w:rsid w:val="00216CFE"/>
    <w:rsid w:val="002170B0"/>
    <w:rsid w:val="00220F57"/>
    <w:rsid w:val="00224599"/>
    <w:rsid w:val="00224611"/>
    <w:rsid w:val="00227196"/>
    <w:rsid w:val="00232F02"/>
    <w:rsid w:val="00234D2F"/>
    <w:rsid w:val="00235E9E"/>
    <w:rsid w:val="002409AB"/>
    <w:rsid w:val="0024134B"/>
    <w:rsid w:val="0024137C"/>
    <w:rsid w:val="00242EE2"/>
    <w:rsid w:val="002456EC"/>
    <w:rsid w:val="002457A0"/>
    <w:rsid w:val="00245DD2"/>
    <w:rsid w:val="00246935"/>
    <w:rsid w:val="002500CB"/>
    <w:rsid w:val="00251DCC"/>
    <w:rsid w:val="0025308A"/>
    <w:rsid w:val="002541F4"/>
    <w:rsid w:val="00254C17"/>
    <w:rsid w:val="002567BD"/>
    <w:rsid w:val="0026037D"/>
    <w:rsid w:val="00260602"/>
    <w:rsid w:val="002640DD"/>
    <w:rsid w:val="00267110"/>
    <w:rsid w:val="0027538F"/>
    <w:rsid w:val="002774B5"/>
    <w:rsid w:val="00281BAB"/>
    <w:rsid w:val="00283148"/>
    <w:rsid w:val="002846D8"/>
    <w:rsid w:val="002864D7"/>
    <w:rsid w:val="00287A4B"/>
    <w:rsid w:val="0029109E"/>
    <w:rsid w:val="00293AEA"/>
    <w:rsid w:val="00294F57"/>
    <w:rsid w:val="002956C8"/>
    <w:rsid w:val="00295A46"/>
    <w:rsid w:val="002A4416"/>
    <w:rsid w:val="002A4ADD"/>
    <w:rsid w:val="002A4D9B"/>
    <w:rsid w:val="002B0A32"/>
    <w:rsid w:val="002B0A7B"/>
    <w:rsid w:val="002B244F"/>
    <w:rsid w:val="002B31D9"/>
    <w:rsid w:val="002B5622"/>
    <w:rsid w:val="002B79C1"/>
    <w:rsid w:val="002C023C"/>
    <w:rsid w:val="002C0ECE"/>
    <w:rsid w:val="002C10B0"/>
    <w:rsid w:val="002C2754"/>
    <w:rsid w:val="002C2C09"/>
    <w:rsid w:val="002C5B41"/>
    <w:rsid w:val="002C7169"/>
    <w:rsid w:val="002C7246"/>
    <w:rsid w:val="002D3895"/>
    <w:rsid w:val="002D433A"/>
    <w:rsid w:val="002D492E"/>
    <w:rsid w:val="002D5C40"/>
    <w:rsid w:val="002E1BFD"/>
    <w:rsid w:val="002E3869"/>
    <w:rsid w:val="002E68C7"/>
    <w:rsid w:val="002E7532"/>
    <w:rsid w:val="002E7682"/>
    <w:rsid w:val="002E7D76"/>
    <w:rsid w:val="002F1DAF"/>
    <w:rsid w:val="002F4B8B"/>
    <w:rsid w:val="002F5176"/>
    <w:rsid w:val="002F561D"/>
    <w:rsid w:val="002F642C"/>
    <w:rsid w:val="002F6EA0"/>
    <w:rsid w:val="002F7401"/>
    <w:rsid w:val="00304353"/>
    <w:rsid w:val="00304CE8"/>
    <w:rsid w:val="003054C3"/>
    <w:rsid w:val="00305FE2"/>
    <w:rsid w:val="00306174"/>
    <w:rsid w:val="00306455"/>
    <w:rsid w:val="00306868"/>
    <w:rsid w:val="003071A3"/>
    <w:rsid w:val="0031104B"/>
    <w:rsid w:val="00316CD3"/>
    <w:rsid w:val="003175EC"/>
    <w:rsid w:val="0032022D"/>
    <w:rsid w:val="0032633A"/>
    <w:rsid w:val="00326CF6"/>
    <w:rsid w:val="00327D7B"/>
    <w:rsid w:val="00332D35"/>
    <w:rsid w:val="003344C6"/>
    <w:rsid w:val="003407CD"/>
    <w:rsid w:val="00340F95"/>
    <w:rsid w:val="00343D68"/>
    <w:rsid w:val="0034454F"/>
    <w:rsid w:val="00344F7D"/>
    <w:rsid w:val="00345C9E"/>
    <w:rsid w:val="00346F9E"/>
    <w:rsid w:val="003475E4"/>
    <w:rsid w:val="00347990"/>
    <w:rsid w:val="00347FA8"/>
    <w:rsid w:val="00356B39"/>
    <w:rsid w:val="00357548"/>
    <w:rsid w:val="00362688"/>
    <w:rsid w:val="00363F65"/>
    <w:rsid w:val="00366209"/>
    <w:rsid w:val="0036631E"/>
    <w:rsid w:val="00367E85"/>
    <w:rsid w:val="00372C6E"/>
    <w:rsid w:val="00373199"/>
    <w:rsid w:val="00373DB6"/>
    <w:rsid w:val="00374F05"/>
    <w:rsid w:val="00375F15"/>
    <w:rsid w:val="00376923"/>
    <w:rsid w:val="00377A77"/>
    <w:rsid w:val="00377CAC"/>
    <w:rsid w:val="00380099"/>
    <w:rsid w:val="003801EF"/>
    <w:rsid w:val="00381802"/>
    <w:rsid w:val="00383DEB"/>
    <w:rsid w:val="003847E3"/>
    <w:rsid w:val="003852B9"/>
    <w:rsid w:val="00391CF3"/>
    <w:rsid w:val="00393C14"/>
    <w:rsid w:val="003957E1"/>
    <w:rsid w:val="00395812"/>
    <w:rsid w:val="003A0AFD"/>
    <w:rsid w:val="003A168E"/>
    <w:rsid w:val="003A321D"/>
    <w:rsid w:val="003A414E"/>
    <w:rsid w:val="003A433C"/>
    <w:rsid w:val="003A5EE6"/>
    <w:rsid w:val="003A6AC1"/>
    <w:rsid w:val="003B07F1"/>
    <w:rsid w:val="003B3D51"/>
    <w:rsid w:val="003B581D"/>
    <w:rsid w:val="003C299A"/>
    <w:rsid w:val="003C2F5E"/>
    <w:rsid w:val="003C30CD"/>
    <w:rsid w:val="003D0EC5"/>
    <w:rsid w:val="003D6784"/>
    <w:rsid w:val="003E0D43"/>
    <w:rsid w:val="003E13CD"/>
    <w:rsid w:val="003E1EBF"/>
    <w:rsid w:val="003E2AAB"/>
    <w:rsid w:val="003E32CF"/>
    <w:rsid w:val="003E405B"/>
    <w:rsid w:val="003E4A0B"/>
    <w:rsid w:val="003E4ACC"/>
    <w:rsid w:val="003E5CEC"/>
    <w:rsid w:val="003E7474"/>
    <w:rsid w:val="003F0AB2"/>
    <w:rsid w:val="003F2BE7"/>
    <w:rsid w:val="003F3BAF"/>
    <w:rsid w:val="003F3DA1"/>
    <w:rsid w:val="00400E56"/>
    <w:rsid w:val="00401F7E"/>
    <w:rsid w:val="004044DC"/>
    <w:rsid w:val="00406559"/>
    <w:rsid w:val="00406664"/>
    <w:rsid w:val="00411737"/>
    <w:rsid w:val="00412039"/>
    <w:rsid w:val="00412115"/>
    <w:rsid w:val="00412B04"/>
    <w:rsid w:val="00413C9B"/>
    <w:rsid w:val="00414C36"/>
    <w:rsid w:val="004159DB"/>
    <w:rsid w:val="00415B69"/>
    <w:rsid w:val="0041775E"/>
    <w:rsid w:val="0042091E"/>
    <w:rsid w:val="0042357A"/>
    <w:rsid w:val="00423EA3"/>
    <w:rsid w:val="004242FE"/>
    <w:rsid w:val="004255D0"/>
    <w:rsid w:val="004255D7"/>
    <w:rsid w:val="00425F63"/>
    <w:rsid w:val="00431AC0"/>
    <w:rsid w:val="00431EAB"/>
    <w:rsid w:val="004329FA"/>
    <w:rsid w:val="00435F38"/>
    <w:rsid w:val="0044131D"/>
    <w:rsid w:val="004431C7"/>
    <w:rsid w:val="00443FDB"/>
    <w:rsid w:val="00444625"/>
    <w:rsid w:val="00445D30"/>
    <w:rsid w:val="00451E33"/>
    <w:rsid w:val="00452B32"/>
    <w:rsid w:val="00452F92"/>
    <w:rsid w:val="00453C2E"/>
    <w:rsid w:val="00454931"/>
    <w:rsid w:val="00455EE4"/>
    <w:rsid w:val="004608EE"/>
    <w:rsid w:val="004640A1"/>
    <w:rsid w:val="004647AA"/>
    <w:rsid w:val="00464D59"/>
    <w:rsid w:val="00474316"/>
    <w:rsid w:val="00475CC0"/>
    <w:rsid w:val="00476779"/>
    <w:rsid w:val="00476EE8"/>
    <w:rsid w:val="0048173C"/>
    <w:rsid w:val="004819AA"/>
    <w:rsid w:val="00481E4C"/>
    <w:rsid w:val="0048296E"/>
    <w:rsid w:val="00490194"/>
    <w:rsid w:val="00493254"/>
    <w:rsid w:val="00493384"/>
    <w:rsid w:val="00495771"/>
    <w:rsid w:val="004A0A30"/>
    <w:rsid w:val="004A0A53"/>
    <w:rsid w:val="004A2018"/>
    <w:rsid w:val="004A21DD"/>
    <w:rsid w:val="004A4191"/>
    <w:rsid w:val="004A4D31"/>
    <w:rsid w:val="004B0663"/>
    <w:rsid w:val="004B1BAB"/>
    <w:rsid w:val="004B286B"/>
    <w:rsid w:val="004B28E9"/>
    <w:rsid w:val="004B312B"/>
    <w:rsid w:val="004B41E4"/>
    <w:rsid w:val="004C04E9"/>
    <w:rsid w:val="004C2C73"/>
    <w:rsid w:val="004C3A9E"/>
    <w:rsid w:val="004C6781"/>
    <w:rsid w:val="004C7DC0"/>
    <w:rsid w:val="004D139B"/>
    <w:rsid w:val="004D1551"/>
    <w:rsid w:val="004D391E"/>
    <w:rsid w:val="004D3AE2"/>
    <w:rsid w:val="004D5547"/>
    <w:rsid w:val="004E0E1C"/>
    <w:rsid w:val="004E3CDD"/>
    <w:rsid w:val="004E5A2A"/>
    <w:rsid w:val="004E6449"/>
    <w:rsid w:val="004E7741"/>
    <w:rsid w:val="004E79DE"/>
    <w:rsid w:val="004F02B7"/>
    <w:rsid w:val="004F13A2"/>
    <w:rsid w:val="004F46CA"/>
    <w:rsid w:val="00501799"/>
    <w:rsid w:val="00502992"/>
    <w:rsid w:val="00503030"/>
    <w:rsid w:val="005056C8"/>
    <w:rsid w:val="0050717E"/>
    <w:rsid w:val="00507942"/>
    <w:rsid w:val="00511ABF"/>
    <w:rsid w:val="005146BB"/>
    <w:rsid w:val="00514A09"/>
    <w:rsid w:val="00514B0D"/>
    <w:rsid w:val="00517344"/>
    <w:rsid w:val="0051788B"/>
    <w:rsid w:val="0052037A"/>
    <w:rsid w:val="00521C34"/>
    <w:rsid w:val="00522F36"/>
    <w:rsid w:val="0052307C"/>
    <w:rsid w:val="005249AA"/>
    <w:rsid w:val="00525BF7"/>
    <w:rsid w:val="00530686"/>
    <w:rsid w:val="0053285B"/>
    <w:rsid w:val="005339F8"/>
    <w:rsid w:val="00534704"/>
    <w:rsid w:val="00536C07"/>
    <w:rsid w:val="00540C9E"/>
    <w:rsid w:val="005452D6"/>
    <w:rsid w:val="00550BEC"/>
    <w:rsid w:val="0055129E"/>
    <w:rsid w:val="00551BFB"/>
    <w:rsid w:val="00552E1C"/>
    <w:rsid w:val="00554E6E"/>
    <w:rsid w:val="00560603"/>
    <w:rsid w:val="00561A27"/>
    <w:rsid w:val="00562CEF"/>
    <w:rsid w:val="00564160"/>
    <w:rsid w:val="00567399"/>
    <w:rsid w:val="005712D8"/>
    <w:rsid w:val="0058508F"/>
    <w:rsid w:val="00586337"/>
    <w:rsid w:val="00593A40"/>
    <w:rsid w:val="005969CE"/>
    <w:rsid w:val="00596CBF"/>
    <w:rsid w:val="00597222"/>
    <w:rsid w:val="00597C5D"/>
    <w:rsid w:val="00597F14"/>
    <w:rsid w:val="005A2128"/>
    <w:rsid w:val="005A2FA4"/>
    <w:rsid w:val="005A4DC2"/>
    <w:rsid w:val="005A6B7B"/>
    <w:rsid w:val="005A73A7"/>
    <w:rsid w:val="005A78FE"/>
    <w:rsid w:val="005B0B7C"/>
    <w:rsid w:val="005B1D20"/>
    <w:rsid w:val="005B5C40"/>
    <w:rsid w:val="005C05F7"/>
    <w:rsid w:val="005C42DA"/>
    <w:rsid w:val="005D6A7B"/>
    <w:rsid w:val="005D6E20"/>
    <w:rsid w:val="005E0614"/>
    <w:rsid w:val="005E0D37"/>
    <w:rsid w:val="005E1D7E"/>
    <w:rsid w:val="005E228D"/>
    <w:rsid w:val="005E3D5C"/>
    <w:rsid w:val="005E793E"/>
    <w:rsid w:val="005F1FD2"/>
    <w:rsid w:val="005F317F"/>
    <w:rsid w:val="005F38AF"/>
    <w:rsid w:val="005F604E"/>
    <w:rsid w:val="005F6C18"/>
    <w:rsid w:val="00600DF4"/>
    <w:rsid w:val="006077C0"/>
    <w:rsid w:val="00610605"/>
    <w:rsid w:val="00616916"/>
    <w:rsid w:val="00625251"/>
    <w:rsid w:val="006252F8"/>
    <w:rsid w:val="00625885"/>
    <w:rsid w:val="0062638C"/>
    <w:rsid w:val="00632B22"/>
    <w:rsid w:val="00632B5B"/>
    <w:rsid w:val="00633936"/>
    <w:rsid w:val="006373CB"/>
    <w:rsid w:val="00637DC6"/>
    <w:rsid w:val="00640641"/>
    <w:rsid w:val="0064172D"/>
    <w:rsid w:val="006432F5"/>
    <w:rsid w:val="00644289"/>
    <w:rsid w:val="00644DF9"/>
    <w:rsid w:val="00644E56"/>
    <w:rsid w:val="0064650F"/>
    <w:rsid w:val="006468AB"/>
    <w:rsid w:val="006477CB"/>
    <w:rsid w:val="0065231C"/>
    <w:rsid w:val="006543BE"/>
    <w:rsid w:val="00654EC1"/>
    <w:rsid w:val="00656720"/>
    <w:rsid w:val="0065704F"/>
    <w:rsid w:val="00660339"/>
    <w:rsid w:val="006605EB"/>
    <w:rsid w:val="00675851"/>
    <w:rsid w:val="006766CE"/>
    <w:rsid w:val="00676AF9"/>
    <w:rsid w:val="006770C1"/>
    <w:rsid w:val="0067793F"/>
    <w:rsid w:val="00677A39"/>
    <w:rsid w:val="006810F2"/>
    <w:rsid w:val="006814EC"/>
    <w:rsid w:val="00681E6D"/>
    <w:rsid w:val="00684478"/>
    <w:rsid w:val="0068706C"/>
    <w:rsid w:val="00687D2E"/>
    <w:rsid w:val="00687D8D"/>
    <w:rsid w:val="00690398"/>
    <w:rsid w:val="00690F74"/>
    <w:rsid w:val="00691667"/>
    <w:rsid w:val="00693866"/>
    <w:rsid w:val="00696A7A"/>
    <w:rsid w:val="0069753F"/>
    <w:rsid w:val="006A0194"/>
    <w:rsid w:val="006A34BC"/>
    <w:rsid w:val="006A67F4"/>
    <w:rsid w:val="006B09BF"/>
    <w:rsid w:val="006B2D58"/>
    <w:rsid w:val="006B3BE0"/>
    <w:rsid w:val="006C17F1"/>
    <w:rsid w:val="006C3C1F"/>
    <w:rsid w:val="006C66F8"/>
    <w:rsid w:val="006C72BB"/>
    <w:rsid w:val="006C7FA2"/>
    <w:rsid w:val="006D2535"/>
    <w:rsid w:val="006D6F2E"/>
    <w:rsid w:val="006D7A0F"/>
    <w:rsid w:val="006E199F"/>
    <w:rsid w:val="006E2323"/>
    <w:rsid w:val="006E346F"/>
    <w:rsid w:val="006E5FB9"/>
    <w:rsid w:val="006E6BB1"/>
    <w:rsid w:val="006F0F9E"/>
    <w:rsid w:val="006F26AF"/>
    <w:rsid w:val="006F6E14"/>
    <w:rsid w:val="007006E0"/>
    <w:rsid w:val="00703D08"/>
    <w:rsid w:val="00704322"/>
    <w:rsid w:val="00711305"/>
    <w:rsid w:val="00714BC5"/>
    <w:rsid w:val="00714D4D"/>
    <w:rsid w:val="00715988"/>
    <w:rsid w:val="007159DE"/>
    <w:rsid w:val="00715BE6"/>
    <w:rsid w:val="00721A53"/>
    <w:rsid w:val="007235B8"/>
    <w:rsid w:val="007242A8"/>
    <w:rsid w:val="007247C6"/>
    <w:rsid w:val="007247E1"/>
    <w:rsid w:val="0072705E"/>
    <w:rsid w:val="00727B51"/>
    <w:rsid w:val="0073325F"/>
    <w:rsid w:val="007364D2"/>
    <w:rsid w:val="0074041D"/>
    <w:rsid w:val="00746C85"/>
    <w:rsid w:val="00753F68"/>
    <w:rsid w:val="0075437B"/>
    <w:rsid w:val="007617FC"/>
    <w:rsid w:val="00762371"/>
    <w:rsid w:val="00765B32"/>
    <w:rsid w:val="00767198"/>
    <w:rsid w:val="00767BD8"/>
    <w:rsid w:val="0077292A"/>
    <w:rsid w:val="00773A90"/>
    <w:rsid w:val="00774290"/>
    <w:rsid w:val="0077495A"/>
    <w:rsid w:val="00775805"/>
    <w:rsid w:val="00775BC4"/>
    <w:rsid w:val="00777B79"/>
    <w:rsid w:val="0078113C"/>
    <w:rsid w:val="0078183E"/>
    <w:rsid w:val="0078306D"/>
    <w:rsid w:val="00783B43"/>
    <w:rsid w:val="00783BFA"/>
    <w:rsid w:val="00784840"/>
    <w:rsid w:val="0078580F"/>
    <w:rsid w:val="0078727E"/>
    <w:rsid w:val="00790FC3"/>
    <w:rsid w:val="00791B28"/>
    <w:rsid w:val="00792641"/>
    <w:rsid w:val="00792752"/>
    <w:rsid w:val="00793DC0"/>
    <w:rsid w:val="007944DF"/>
    <w:rsid w:val="007A1858"/>
    <w:rsid w:val="007A2188"/>
    <w:rsid w:val="007A2A01"/>
    <w:rsid w:val="007A5364"/>
    <w:rsid w:val="007A5C80"/>
    <w:rsid w:val="007A6C82"/>
    <w:rsid w:val="007B18EB"/>
    <w:rsid w:val="007B2CB4"/>
    <w:rsid w:val="007B34A4"/>
    <w:rsid w:val="007B35C1"/>
    <w:rsid w:val="007B41A7"/>
    <w:rsid w:val="007B4725"/>
    <w:rsid w:val="007B5B7F"/>
    <w:rsid w:val="007B6265"/>
    <w:rsid w:val="007B6480"/>
    <w:rsid w:val="007C0681"/>
    <w:rsid w:val="007C0C74"/>
    <w:rsid w:val="007C287B"/>
    <w:rsid w:val="007C6B3F"/>
    <w:rsid w:val="007D2C97"/>
    <w:rsid w:val="007D40CB"/>
    <w:rsid w:val="007D5B81"/>
    <w:rsid w:val="007E1259"/>
    <w:rsid w:val="007E30DB"/>
    <w:rsid w:val="007E3DAC"/>
    <w:rsid w:val="007E6645"/>
    <w:rsid w:val="007E6C53"/>
    <w:rsid w:val="007E7E9C"/>
    <w:rsid w:val="007F067A"/>
    <w:rsid w:val="007F1A8E"/>
    <w:rsid w:val="007F22F6"/>
    <w:rsid w:val="007F4EA8"/>
    <w:rsid w:val="007F508B"/>
    <w:rsid w:val="007F76A5"/>
    <w:rsid w:val="008016D0"/>
    <w:rsid w:val="00801A8F"/>
    <w:rsid w:val="00802309"/>
    <w:rsid w:val="0080328B"/>
    <w:rsid w:val="008039A8"/>
    <w:rsid w:val="00803DC8"/>
    <w:rsid w:val="00804BC2"/>
    <w:rsid w:val="0081465C"/>
    <w:rsid w:val="00816811"/>
    <w:rsid w:val="00817658"/>
    <w:rsid w:val="00823D54"/>
    <w:rsid w:val="00824DD7"/>
    <w:rsid w:val="0082525C"/>
    <w:rsid w:val="0083338C"/>
    <w:rsid w:val="008334A2"/>
    <w:rsid w:val="008344A7"/>
    <w:rsid w:val="00837E60"/>
    <w:rsid w:val="00840036"/>
    <w:rsid w:val="00840333"/>
    <w:rsid w:val="00841EFE"/>
    <w:rsid w:val="00850F3F"/>
    <w:rsid w:val="00851FA5"/>
    <w:rsid w:val="008544E6"/>
    <w:rsid w:val="00857A76"/>
    <w:rsid w:val="008627B8"/>
    <w:rsid w:val="008638E0"/>
    <w:rsid w:val="00867AEB"/>
    <w:rsid w:val="00867F1E"/>
    <w:rsid w:val="00870FF0"/>
    <w:rsid w:val="0087725E"/>
    <w:rsid w:val="0088073C"/>
    <w:rsid w:val="00880B77"/>
    <w:rsid w:val="008839D1"/>
    <w:rsid w:val="0088447D"/>
    <w:rsid w:val="0089244A"/>
    <w:rsid w:val="00894AF4"/>
    <w:rsid w:val="00896A29"/>
    <w:rsid w:val="00897926"/>
    <w:rsid w:val="008A220F"/>
    <w:rsid w:val="008A2E8B"/>
    <w:rsid w:val="008A4452"/>
    <w:rsid w:val="008A51FA"/>
    <w:rsid w:val="008A53D3"/>
    <w:rsid w:val="008A6D49"/>
    <w:rsid w:val="008A6E75"/>
    <w:rsid w:val="008A75A9"/>
    <w:rsid w:val="008B08CF"/>
    <w:rsid w:val="008B4673"/>
    <w:rsid w:val="008B487A"/>
    <w:rsid w:val="008B520A"/>
    <w:rsid w:val="008B5637"/>
    <w:rsid w:val="008B5A46"/>
    <w:rsid w:val="008B5C54"/>
    <w:rsid w:val="008B7E32"/>
    <w:rsid w:val="008C149E"/>
    <w:rsid w:val="008C31BA"/>
    <w:rsid w:val="008C410D"/>
    <w:rsid w:val="008C5DF6"/>
    <w:rsid w:val="008C62B6"/>
    <w:rsid w:val="008D00E6"/>
    <w:rsid w:val="008D049E"/>
    <w:rsid w:val="008D2BFF"/>
    <w:rsid w:val="008E6054"/>
    <w:rsid w:val="008E6715"/>
    <w:rsid w:val="008F2A2D"/>
    <w:rsid w:val="008F6339"/>
    <w:rsid w:val="008F6F6D"/>
    <w:rsid w:val="009052F0"/>
    <w:rsid w:val="009059F1"/>
    <w:rsid w:val="00905A79"/>
    <w:rsid w:val="00905C9C"/>
    <w:rsid w:val="00906463"/>
    <w:rsid w:val="009064FB"/>
    <w:rsid w:val="00906FCF"/>
    <w:rsid w:val="00907118"/>
    <w:rsid w:val="009073EE"/>
    <w:rsid w:val="009107AE"/>
    <w:rsid w:val="00911136"/>
    <w:rsid w:val="0091149D"/>
    <w:rsid w:val="00912837"/>
    <w:rsid w:val="00912B43"/>
    <w:rsid w:val="00914D8D"/>
    <w:rsid w:val="0091628A"/>
    <w:rsid w:val="00916B72"/>
    <w:rsid w:val="0092082E"/>
    <w:rsid w:val="0092677B"/>
    <w:rsid w:val="0092725B"/>
    <w:rsid w:val="00930FCF"/>
    <w:rsid w:val="00933D3A"/>
    <w:rsid w:val="009378F0"/>
    <w:rsid w:val="009403BD"/>
    <w:rsid w:val="00941155"/>
    <w:rsid w:val="009458C3"/>
    <w:rsid w:val="00950421"/>
    <w:rsid w:val="009513A1"/>
    <w:rsid w:val="00951914"/>
    <w:rsid w:val="00951B93"/>
    <w:rsid w:val="00952CD6"/>
    <w:rsid w:val="00954064"/>
    <w:rsid w:val="0095412F"/>
    <w:rsid w:val="00957643"/>
    <w:rsid w:val="00967E18"/>
    <w:rsid w:val="00967F0A"/>
    <w:rsid w:val="009706B7"/>
    <w:rsid w:val="009712A1"/>
    <w:rsid w:val="00973900"/>
    <w:rsid w:val="00977A65"/>
    <w:rsid w:val="00981C17"/>
    <w:rsid w:val="00984679"/>
    <w:rsid w:val="0098481E"/>
    <w:rsid w:val="00986759"/>
    <w:rsid w:val="00990423"/>
    <w:rsid w:val="00990654"/>
    <w:rsid w:val="00990FCE"/>
    <w:rsid w:val="00991993"/>
    <w:rsid w:val="00994B49"/>
    <w:rsid w:val="009953A4"/>
    <w:rsid w:val="009963EB"/>
    <w:rsid w:val="00997E28"/>
    <w:rsid w:val="009A0862"/>
    <w:rsid w:val="009A0E4F"/>
    <w:rsid w:val="009A24DA"/>
    <w:rsid w:val="009A2BD4"/>
    <w:rsid w:val="009A3B3D"/>
    <w:rsid w:val="009A72B5"/>
    <w:rsid w:val="009B1322"/>
    <w:rsid w:val="009B147A"/>
    <w:rsid w:val="009B27B1"/>
    <w:rsid w:val="009B368C"/>
    <w:rsid w:val="009B75E7"/>
    <w:rsid w:val="009C1AF7"/>
    <w:rsid w:val="009C1DD8"/>
    <w:rsid w:val="009C6F92"/>
    <w:rsid w:val="009C7A02"/>
    <w:rsid w:val="009D05E3"/>
    <w:rsid w:val="009D373D"/>
    <w:rsid w:val="009D38F5"/>
    <w:rsid w:val="009D479A"/>
    <w:rsid w:val="009D4DA3"/>
    <w:rsid w:val="009E0017"/>
    <w:rsid w:val="009E2FF6"/>
    <w:rsid w:val="009E39EE"/>
    <w:rsid w:val="009E3AD0"/>
    <w:rsid w:val="009E43CD"/>
    <w:rsid w:val="009E6250"/>
    <w:rsid w:val="009F0E4F"/>
    <w:rsid w:val="009F4BA6"/>
    <w:rsid w:val="009F655E"/>
    <w:rsid w:val="00A0027D"/>
    <w:rsid w:val="00A0050C"/>
    <w:rsid w:val="00A04F5D"/>
    <w:rsid w:val="00A05B1E"/>
    <w:rsid w:val="00A05C1D"/>
    <w:rsid w:val="00A106B4"/>
    <w:rsid w:val="00A10F6F"/>
    <w:rsid w:val="00A14217"/>
    <w:rsid w:val="00A20690"/>
    <w:rsid w:val="00A22B21"/>
    <w:rsid w:val="00A22B69"/>
    <w:rsid w:val="00A22E68"/>
    <w:rsid w:val="00A24FB9"/>
    <w:rsid w:val="00A3204E"/>
    <w:rsid w:val="00A32AF3"/>
    <w:rsid w:val="00A34232"/>
    <w:rsid w:val="00A3632F"/>
    <w:rsid w:val="00A400EE"/>
    <w:rsid w:val="00A4333C"/>
    <w:rsid w:val="00A45683"/>
    <w:rsid w:val="00A50AB1"/>
    <w:rsid w:val="00A51DA5"/>
    <w:rsid w:val="00A51F78"/>
    <w:rsid w:val="00A5644E"/>
    <w:rsid w:val="00A6168A"/>
    <w:rsid w:val="00A62984"/>
    <w:rsid w:val="00A62FF7"/>
    <w:rsid w:val="00A64D7C"/>
    <w:rsid w:val="00A70355"/>
    <w:rsid w:val="00A7268F"/>
    <w:rsid w:val="00A72DAA"/>
    <w:rsid w:val="00A7308C"/>
    <w:rsid w:val="00A73205"/>
    <w:rsid w:val="00A7440F"/>
    <w:rsid w:val="00A749BD"/>
    <w:rsid w:val="00A7546A"/>
    <w:rsid w:val="00A80456"/>
    <w:rsid w:val="00A806E3"/>
    <w:rsid w:val="00A80DE5"/>
    <w:rsid w:val="00A83BF5"/>
    <w:rsid w:val="00A83BFF"/>
    <w:rsid w:val="00A91171"/>
    <w:rsid w:val="00A94CE9"/>
    <w:rsid w:val="00A95073"/>
    <w:rsid w:val="00A9786C"/>
    <w:rsid w:val="00AA0D4E"/>
    <w:rsid w:val="00AA3AD7"/>
    <w:rsid w:val="00AA7E89"/>
    <w:rsid w:val="00AB005A"/>
    <w:rsid w:val="00AB407A"/>
    <w:rsid w:val="00AC0F5F"/>
    <w:rsid w:val="00AC18DA"/>
    <w:rsid w:val="00AC2A0D"/>
    <w:rsid w:val="00AC3555"/>
    <w:rsid w:val="00AC55D7"/>
    <w:rsid w:val="00AC5990"/>
    <w:rsid w:val="00AC7C57"/>
    <w:rsid w:val="00AD0051"/>
    <w:rsid w:val="00AD03CC"/>
    <w:rsid w:val="00AD22B9"/>
    <w:rsid w:val="00AD2966"/>
    <w:rsid w:val="00AD43E9"/>
    <w:rsid w:val="00AD7336"/>
    <w:rsid w:val="00AE005C"/>
    <w:rsid w:val="00AE0C65"/>
    <w:rsid w:val="00AE109D"/>
    <w:rsid w:val="00AE14E9"/>
    <w:rsid w:val="00AE18E2"/>
    <w:rsid w:val="00AE1B7D"/>
    <w:rsid w:val="00AE6264"/>
    <w:rsid w:val="00AE7DAF"/>
    <w:rsid w:val="00AF2530"/>
    <w:rsid w:val="00AF5217"/>
    <w:rsid w:val="00B00B0F"/>
    <w:rsid w:val="00B01312"/>
    <w:rsid w:val="00B01742"/>
    <w:rsid w:val="00B019AE"/>
    <w:rsid w:val="00B024A3"/>
    <w:rsid w:val="00B049BE"/>
    <w:rsid w:val="00B05E59"/>
    <w:rsid w:val="00B061E3"/>
    <w:rsid w:val="00B0781D"/>
    <w:rsid w:val="00B07B02"/>
    <w:rsid w:val="00B12905"/>
    <w:rsid w:val="00B14689"/>
    <w:rsid w:val="00B14AE7"/>
    <w:rsid w:val="00B17096"/>
    <w:rsid w:val="00B20989"/>
    <w:rsid w:val="00B22D28"/>
    <w:rsid w:val="00B25503"/>
    <w:rsid w:val="00B30FC6"/>
    <w:rsid w:val="00B32C72"/>
    <w:rsid w:val="00B33796"/>
    <w:rsid w:val="00B33F33"/>
    <w:rsid w:val="00B34C46"/>
    <w:rsid w:val="00B400BA"/>
    <w:rsid w:val="00B421F2"/>
    <w:rsid w:val="00B5045B"/>
    <w:rsid w:val="00B50DC4"/>
    <w:rsid w:val="00B61B7F"/>
    <w:rsid w:val="00B61BF9"/>
    <w:rsid w:val="00B635C2"/>
    <w:rsid w:val="00B6539D"/>
    <w:rsid w:val="00B66635"/>
    <w:rsid w:val="00B6688F"/>
    <w:rsid w:val="00B718CD"/>
    <w:rsid w:val="00B72601"/>
    <w:rsid w:val="00B73204"/>
    <w:rsid w:val="00B812DE"/>
    <w:rsid w:val="00B825C7"/>
    <w:rsid w:val="00B82645"/>
    <w:rsid w:val="00B8442E"/>
    <w:rsid w:val="00B84689"/>
    <w:rsid w:val="00B859C1"/>
    <w:rsid w:val="00B85C05"/>
    <w:rsid w:val="00B90812"/>
    <w:rsid w:val="00B915BA"/>
    <w:rsid w:val="00B93F69"/>
    <w:rsid w:val="00B951FF"/>
    <w:rsid w:val="00B96E68"/>
    <w:rsid w:val="00BA3CD1"/>
    <w:rsid w:val="00BA4758"/>
    <w:rsid w:val="00BA4811"/>
    <w:rsid w:val="00BA5FF4"/>
    <w:rsid w:val="00BA68C2"/>
    <w:rsid w:val="00BA6A68"/>
    <w:rsid w:val="00BA706B"/>
    <w:rsid w:val="00BB2A78"/>
    <w:rsid w:val="00BB6CC8"/>
    <w:rsid w:val="00BC1028"/>
    <w:rsid w:val="00BC37F8"/>
    <w:rsid w:val="00BC3B70"/>
    <w:rsid w:val="00BC456F"/>
    <w:rsid w:val="00BC7AA0"/>
    <w:rsid w:val="00BD3858"/>
    <w:rsid w:val="00BD7683"/>
    <w:rsid w:val="00BD7CAE"/>
    <w:rsid w:val="00BE4BB7"/>
    <w:rsid w:val="00BF0822"/>
    <w:rsid w:val="00BF1B2B"/>
    <w:rsid w:val="00BF1E41"/>
    <w:rsid w:val="00BF26C0"/>
    <w:rsid w:val="00BF3999"/>
    <w:rsid w:val="00BF4E5E"/>
    <w:rsid w:val="00BF4EEA"/>
    <w:rsid w:val="00BF68AF"/>
    <w:rsid w:val="00BF6CA8"/>
    <w:rsid w:val="00C00DA5"/>
    <w:rsid w:val="00C0353A"/>
    <w:rsid w:val="00C048BD"/>
    <w:rsid w:val="00C05D5B"/>
    <w:rsid w:val="00C07CB8"/>
    <w:rsid w:val="00C1283C"/>
    <w:rsid w:val="00C153E2"/>
    <w:rsid w:val="00C177CD"/>
    <w:rsid w:val="00C20BC7"/>
    <w:rsid w:val="00C21A98"/>
    <w:rsid w:val="00C21C1B"/>
    <w:rsid w:val="00C248D1"/>
    <w:rsid w:val="00C27BAE"/>
    <w:rsid w:val="00C34BCD"/>
    <w:rsid w:val="00C34E42"/>
    <w:rsid w:val="00C35B56"/>
    <w:rsid w:val="00C35C3B"/>
    <w:rsid w:val="00C36105"/>
    <w:rsid w:val="00C36961"/>
    <w:rsid w:val="00C412CD"/>
    <w:rsid w:val="00C419CE"/>
    <w:rsid w:val="00C44BB8"/>
    <w:rsid w:val="00C45168"/>
    <w:rsid w:val="00C45C78"/>
    <w:rsid w:val="00C46854"/>
    <w:rsid w:val="00C468C3"/>
    <w:rsid w:val="00C46FAD"/>
    <w:rsid w:val="00C50D9C"/>
    <w:rsid w:val="00C54106"/>
    <w:rsid w:val="00C547E5"/>
    <w:rsid w:val="00C54837"/>
    <w:rsid w:val="00C57010"/>
    <w:rsid w:val="00C611B2"/>
    <w:rsid w:val="00C61A3F"/>
    <w:rsid w:val="00C62A0F"/>
    <w:rsid w:val="00C6303C"/>
    <w:rsid w:val="00C6496B"/>
    <w:rsid w:val="00C654D3"/>
    <w:rsid w:val="00C66470"/>
    <w:rsid w:val="00C6789B"/>
    <w:rsid w:val="00C74E10"/>
    <w:rsid w:val="00C80A94"/>
    <w:rsid w:val="00C81374"/>
    <w:rsid w:val="00C81417"/>
    <w:rsid w:val="00C82A2F"/>
    <w:rsid w:val="00C86DE5"/>
    <w:rsid w:val="00C9317F"/>
    <w:rsid w:val="00C93A61"/>
    <w:rsid w:val="00C94F01"/>
    <w:rsid w:val="00C97FDA"/>
    <w:rsid w:val="00CA320E"/>
    <w:rsid w:val="00CA69AF"/>
    <w:rsid w:val="00CA7385"/>
    <w:rsid w:val="00CA7E8F"/>
    <w:rsid w:val="00CB266C"/>
    <w:rsid w:val="00CB4AD0"/>
    <w:rsid w:val="00CC24A7"/>
    <w:rsid w:val="00CC4364"/>
    <w:rsid w:val="00CC474B"/>
    <w:rsid w:val="00CC4D9F"/>
    <w:rsid w:val="00CC61AE"/>
    <w:rsid w:val="00CC68B5"/>
    <w:rsid w:val="00CD1276"/>
    <w:rsid w:val="00CD3450"/>
    <w:rsid w:val="00CD4D3D"/>
    <w:rsid w:val="00CD53E2"/>
    <w:rsid w:val="00CD6F6D"/>
    <w:rsid w:val="00CE1B95"/>
    <w:rsid w:val="00CE3DB5"/>
    <w:rsid w:val="00CF4AA3"/>
    <w:rsid w:val="00CF590A"/>
    <w:rsid w:val="00D02C1E"/>
    <w:rsid w:val="00D04253"/>
    <w:rsid w:val="00D0477D"/>
    <w:rsid w:val="00D06785"/>
    <w:rsid w:val="00D06F9A"/>
    <w:rsid w:val="00D11F7F"/>
    <w:rsid w:val="00D13196"/>
    <w:rsid w:val="00D13C93"/>
    <w:rsid w:val="00D20B02"/>
    <w:rsid w:val="00D21AF6"/>
    <w:rsid w:val="00D21EF4"/>
    <w:rsid w:val="00D224CE"/>
    <w:rsid w:val="00D22A31"/>
    <w:rsid w:val="00D2324E"/>
    <w:rsid w:val="00D2686E"/>
    <w:rsid w:val="00D33A42"/>
    <w:rsid w:val="00D33E7A"/>
    <w:rsid w:val="00D3724F"/>
    <w:rsid w:val="00D438F9"/>
    <w:rsid w:val="00D448BC"/>
    <w:rsid w:val="00D45CCC"/>
    <w:rsid w:val="00D47277"/>
    <w:rsid w:val="00D50E43"/>
    <w:rsid w:val="00D50E59"/>
    <w:rsid w:val="00D615C9"/>
    <w:rsid w:val="00D61D59"/>
    <w:rsid w:val="00D6300D"/>
    <w:rsid w:val="00D64001"/>
    <w:rsid w:val="00D6409D"/>
    <w:rsid w:val="00D66A01"/>
    <w:rsid w:val="00D7011E"/>
    <w:rsid w:val="00D718A9"/>
    <w:rsid w:val="00D80C83"/>
    <w:rsid w:val="00D83C45"/>
    <w:rsid w:val="00D84830"/>
    <w:rsid w:val="00D86AD3"/>
    <w:rsid w:val="00D87530"/>
    <w:rsid w:val="00D87CB7"/>
    <w:rsid w:val="00D93076"/>
    <w:rsid w:val="00D93C6C"/>
    <w:rsid w:val="00D9438C"/>
    <w:rsid w:val="00D9451E"/>
    <w:rsid w:val="00D9495F"/>
    <w:rsid w:val="00D9597D"/>
    <w:rsid w:val="00D96DC2"/>
    <w:rsid w:val="00D96E7D"/>
    <w:rsid w:val="00D97CEA"/>
    <w:rsid w:val="00DA0994"/>
    <w:rsid w:val="00DA3707"/>
    <w:rsid w:val="00DA3D24"/>
    <w:rsid w:val="00DA4090"/>
    <w:rsid w:val="00DA4A93"/>
    <w:rsid w:val="00DA646E"/>
    <w:rsid w:val="00DA68D6"/>
    <w:rsid w:val="00DB0E5A"/>
    <w:rsid w:val="00DB13EC"/>
    <w:rsid w:val="00DB1DF4"/>
    <w:rsid w:val="00DB3F4B"/>
    <w:rsid w:val="00DB49F6"/>
    <w:rsid w:val="00DC1E97"/>
    <w:rsid w:val="00DC29BF"/>
    <w:rsid w:val="00DC6096"/>
    <w:rsid w:val="00DD200F"/>
    <w:rsid w:val="00DD2758"/>
    <w:rsid w:val="00DD39BE"/>
    <w:rsid w:val="00DD4393"/>
    <w:rsid w:val="00DD4D90"/>
    <w:rsid w:val="00DD5568"/>
    <w:rsid w:val="00DE1456"/>
    <w:rsid w:val="00DE2DD0"/>
    <w:rsid w:val="00DE3148"/>
    <w:rsid w:val="00DE340F"/>
    <w:rsid w:val="00DE5683"/>
    <w:rsid w:val="00DE65D5"/>
    <w:rsid w:val="00DF3CCE"/>
    <w:rsid w:val="00E0643E"/>
    <w:rsid w:val="00E06B25"/>
    <w:rsid w:val="00E11C2C"/>
    <w:rsid w:val="00E13445"/>
    <w:rsid w:val="00E14FEA"/>
    <w:rsid w:val="00E16FC2"/>
    <w:rsid w:val="00E17EBE"/>
    <w:rsid w:val="00E21D6C"/>
    <w:rsid w:val="00E24445"/>
    <w:rsid w:val="00E25274"/>
    <w:rsid w:val="00E26B4A"/>
    <w:rsid w:val="00E26C27"/>
    <w:rsid w:val="00E27B1F"/>
    <w:rsid w:val="00E313F0"/>
    <w:rsid w:val="00E3282E"/>
    <w:rsid w:val="00E351DC"/>
    <w:rsid w:val="00E37010"/>
    <w:rsid w:val="00E410A4"/>
    <w:rsid w:val="00E41F1F"/>
    <w:rsid w:val="00E4528C"/>
    <w:rsid w:val="00E458EE"/>
    <w:rsid w:val="00E45A66"/>
    <w:rsid w:val="00E46D52"/>
    <w:rsid w:val="00E4750F"/>
    <w:rsid w:val="00E500EF"/>
    <w:rsid w:val="00E50CE8"/>
    <w:rsid w:val="00E514B5"/>
    <w:rsid w:val="00E51FCC"/>
    <w:rsid w:val="00E5231A"/>
    <w:rsid w:val="00E57785"/>
    <w:rsid w:val="00E62080"/>
    <w:rsid w:val="00E620ED"/>
    <w:rsid w:val="00E63558"/>
    <w:rsid w:val="00E66550"/>
    <w:rsid w:val="00E71415"/>
    <w:rsid w:val="00E7260D"/>
    <w:rsid w:val="00E8017A"/>
    <w:rsid w:val="00E8078C"/>
    <w:rsid w:val="00E844C8"/>
    <w:rsid w:val="00E84AB9"/>
    <w:rsid w:val="00E84B47"/>
    <w:rsid w:val="00E85CC7"/>
    <w:rsid w:val="00E87A00"/>
    <w:rsid w:val="00E918DD"/>
    <w:rsid w:val="00E94949"/>
    <w:rsid w:val="00E95922"/>
    <w:rsid w:val="00E96C3C"/>
    <w:rsid w:val="00EA1FE8"/>
    <w:rsid w:val="00EA36E0"/>
    <w:rsid w:val="00EA3CCE"/>
    <w:rsid w:val="00EA67E7"/>
    <w:rsid w:val="00EA6826"/>
    <w:rsid w:val="00EB03A7"/>
    <w:rsid w:val="00EB09C8"/>
    <w:rsid w:val="00EB2937"/>
    <w:rsid w:val="00EB36F1"/>
    <w:rsid w:val="00EB3DB3"/>
    <w:rsid w:val="00EC4B8C"/>
    <w:rsid w:val="00EC6BED"/>
    <w:rsid w:val="00EC6E2E"/>
    <w:rsid w:val="00EC6FC8"/>
    <w:rsid w:val="00ED0133"/>
    <w:rsid w:val="00ED0FB1"/>
    <w:rsid w:val="00ED5F01"/>
    <w:rsid w:val="00ED66B9"/>
    <w:rsid w:val="00ED7155"/>
    <w:rsid w:val="00ED78B8"/>
    <w:rsid w:val="00EE4BAF"/>
    <w:rsid w:val="00EE7CA0"/>
    <w:rsid w:val="00EF035C"/>
    <w:rsid w:val="00EF0CBC"/>
    <w:rsid w:val="00EF3104"/>
    <w:rsid w:val="00EF3B7F"/>
    <w:rsid w:val="00EF3C40"/>
    <w:rsid w:val="00EF3E4F"/>
    <w:rsid w:val="00EF55A5"/>
    <w:rsid w:val="00EF65CC"/>
    <w:rsid w:val="00EF75FE"/>
    <w:rsid w:val="00F00675"/>
    <w:rsid w:val="00F022D1"/>
    <w:rsid w:val="00F0428E"/>
    <w:rsid w:val="00F05F8D"/>
    <w:rsid w:val="00F0682A"/>
    <w:rsid w:val="00F0689C"/>
    <w:rsid w:val="00F07710"/>
    <w:rsid w:val="00F11C9B"/>
    <w:rsid w:val="00F15924"/>
    <w:rsid w:val="00F16465"/>
    <w:rsid w:val="00F17ECB"/>
    <w:rsid w:val="00F2108C"/>
    <w:rsid w:val="00F31D01"/>
    <w:rsid w:val="00F32FA8"/>
    <w:rsid w:val="00F347C1"/>
    <w:rsid w:val="00F43CD2"/>
    <w:rsid w:val="00F451E7"/>
    <w:rsid w:val="00F46BA4"/>
    <w:rsid w:val="00F530D3"/>
    <w:rsid w:val="00F53E55"/>
    <w:rsid w:val="00F56D1B"/>
    <w:rsid w:val="00F57565"/>
    <w:rsid w:val="00F67570"/>
    <w:rsid w:val="00F67AE6"/>
    <w:rsid w:val="00F72634"/>
    <w:rsid w:val="00F729E1"/>
    <w:rsid w:val="00F72D77"/>
    <w:rsid w:val="00F72F62"/>
    <w:rsid w:val="00F74856"/>
    <w:rsid w:val="00F7735F"/>
    <w:rsid w:val="00F821C5"/>
    <w:rsid w:val="00F824F3"/>
    <w:rsid w:val="00F82BCF"/>
    <w:rsid w:val="00F83F47"/>
    <w:rsid w:val="00F84844"/>
    <w:rsid w:val="00F90BC4"/>
    <w:rsid w:val="00F9607B"/>
    <w:rsid w:val="00F96A72"/>
    <w:rsid w:val="00F97C9F"/>
    <w:rsid w:val="00FA0894"/>
    <w:rsid w:val="00FA0C85"/>
    <w:rsid w:val="00FA25FD"/>
    <w:rsid w:val="00FA6FDE"/>
    <w:rsid w:val="00FA72D8"/>
    <w:rsid w:val="00FB0C46"/>
    <w:rsid w:val="00FB276A"/>
    <w:rsid w:val="00FB3B4D"/>
    <w:rsid w:val="00FB3D71"/>
    <w:rsid w:val="00FB4567"/>
    <w:rsid w:val="00FC0014"/>
    <w:rsid w:val="00FC2156"/>
    <w:rsid w:val="00FC45D9"/>
    <w:rsid w:val="00FC7F19"/>
    <w:rsid w:val="00FD0691"/>
    <w:rsid w:val="00FD1E4B"/>
    <w:rsid w:val="00FD61D4"/>
    <w:rsid w:val="00FE0BB7"/>
    <w:rsid w:val="00FE4F35"/>
    <w:rsid w:val="00FE640B"/>
    <w:rsid w:val="00FE6544"/>
    <w:rsid w:val="00FF0182"/>
    <w:rsid w:val="00FF206E"/>
    <w:rsid w:val="00FF347D"/>
    <w:rsid w:val="00FF34A6"/>
    <w:rsid w:val="00FF53E3"/>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0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2F"/>
    <w:rPr>
      <w:rFonts w:ascii="Tahoma" w:hAnsi="Tahoma" w:cs="Tahoma"/>
      <w:sz w:val="16"/>
      <w:szCs w:val="16"/>
    </w:rPr>
  </w:style>
  <w:style w:type="paragraph" w:styleId="FootnoteText">
    <w:name w:val="footnote text"/>
    <w:basedOn w:val="Normal"/>
    <w:link w:val="FootnoteTextChar"/>
    <w:uiPriority w:val="99"/>
    <w:semiHidden/>
    <w:unhideWhenUsed/>
    <w:rsid w:val="003C2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99A"/>
    <w:rPr>
      <w:sz w:val="20"/>
      <w:szCs w:val="20"/>
    </w:rPr>
  </w:style>
  <w:style w:type="character" w:styleId="FootnoteReference">
    <w:name w:val="footnote reference"/>
    <w:basedOn w:val="DefaultParagraphFont"/>
    <w:uiPriority w:val="99"/>
    <w:semiHidden/>
    <w:unhideWhenUsed/>
    <w:rsid w:val="003C299A"/>
    <w:rPr>
      <w:vertAlign w:val="superscript"/>
    </w:rPr>
  </w:style>
  <w:style w:type="paragraph" w:styleId="Header">
    <w:name w:val="header"/>
    <w:basedOn w:val="Normal"/>
    <w:link w:val="HeaderChar"/>
    <w:uiPriority w:val="99"/>
    <w:unhideWhenUsed/>
    <w:rsid w:val="00CC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1AE"/>
  </w:style>
  <w:style w:type="paragraph" w:styleId="Footer">
    <w:name w:val="footer"/>
    <w:basedOn w:val="Normal"/>
    <w:link w:val="FooterChar"/>
    <w:uiPriority w:val="99"/>
    <w:semiHidden/>
    <w:unhideWhenUsed/>
    <w:rsid w:val="00CC61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61AE"/>
  </w:style>
  <w:style w:type="character" w:styleId="CommentReference">
    <w:name w:val="annotation reference"/>
    <w:basedOn w:val="DefaultParagraphFont"/>
    <w:uiPriority w:val="99"/>
    <w:semiHidden/>
    <w:unhideWhenUsed/>
    <w:rsid w:val="00530686"/>
    <w:rPr>
      <w:sz w:val="16"/>
      <w:szCs w:val="16"/>
    </w:rPr>
  </w:style>
  <w:style w:type="paragraph" w:styleId="CommentText">
    <w:name w:val="annotation text"/>
    <w:basedOn w:val="Normal"/>
    <w:link w:val="CommentTextChar"/>
    <w:uiPriority w:val="99"/>
    <w:semiHidden/>
    <w:unhideWhenUsed/>
    <w:rsid w:val="00530686"/>
    <w:pPr>
      <w:spacing w:line="240" w:lineRule="auto"/>
    </w:pPr>
    <w:rPr>
      <w:sz w:val="20"/>
      <w:szCs w:val="20"/>
    </w:rPr>
  </w:style>
  <w:style w:type="character" w:customStyle="1" w:styleId="CommentTextChar">
    <w:name w:val="Comment Text Char"/>
    <w:basedOn w:val="DefaultParagraphFont"/>
    <w:link w:val="CommentText"/>
    <w:uiPriority w:val="99"/>
    <w:semiHidden/>
    <w:rsid w:val="00530686"/>
    <w:rPr>
      <w:sz w:val="20"/>
      <w:szCs w:val="20"/>
    </w:rPr>
  </w:style>
  <w:style w:type="paragraph" w:styleId="CommentSubject">
    <w:name w:val="annotation subject"/>
    <w:basedOn w:val="CommentText"/>
    <w:next w:val="CommentText"/>
    <w:link w:val="CommentSubjectChar"/>
    <w:uiPriority w:val="99"/>
    <w:semiHidden/>
    <w:unhideWhenUsed/>
    <w:rsid w:val="00530686"/>
    <w:rPr>
      <w:b/>
      <w:bCs/>
    </w:rPr>
  </w:style>
  <w:style w:type="character" w:customStyle="1" w:styleId="CommentSubjectChar">
    <w:name w:val="Comment Subject Char"/>
    <w:basedOn w:val="CommentTextChar"/>
    <w:link w:val="CommentSubject"/>
    <w:uiPriority w:val="99"/>
    <w:semiHidden/>
    <w:rsid w:val="005306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0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6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2F"/>
    <w:rPr>
      <w:rFonts w:ascii="Tahoma" w:hAnsi="Tahoma" w:cs="Tahoma"/>
      <w:sz w:val="16"/>
      <w:szCs w:val="16"/>
    </w:rPr>
  </w:style>
  <w:style w:type="paragraph" w:styleId="FootnoteText">
    <w:name w:val="footnote text"/>
    <w:basedOn w:val="Normal"/>
    <w:link w:val="FootnoteTextChar"/>
    <w:uiPriority w:val="99"/>
    <w:semiHidden/>
    <w:unhideWhenUsed/>
    <w:rsid w:val="003C2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299A"/>
    <w:rPr>
      <w:sz w:val="20"/>
      <w:szCs w:val="20"/>
    </w:rPr>
  </w:style>
  <w:style w:type="character" w:styleId="FootnoteReference">
    <w:name w:val="footnote reference"/>
    <w:basedOn w:val="DefaultParagraphFont"/>
    <w:uiPriority w:val="99"/>
    <w:semiHidden/>
    <w:unhideWhenUsed/>
    <w:rsid w:val="003C299A"/>
    <w:rPr>
      <w:vertAlign w:val="superscript"/>
    </w:rPr>
  </w:style>
  <w:style w:type="paragraph" w:styleId="Header">
    <w:name w:val="header"/>
    <w:basedOn w:val="Normal"/>
    <w:link w:val="HeaderChar"/>
    <w:uiPriority w:val="99"/>
    <w:unhideWhenUsed/>
    <w:rsid w:val="00CC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1AE"/>
  </w:style>
  <w:style w:type="paragraph" w:styleId="Footer">
    <w:name w:val="footer"/>
    <w:basedOn w:val="Normal"/>
    <w:link w:val="FooterChar"/>
    <w:uiPriority w:val="99"/>
    <w:semiHidden/>
    <w:unhideWhenUsed/>
    <w:rsid w:val="00CC61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61AE"/>
  </w:style>
  <w:style w:type="character" w:styleId="CommentReference">
    <w:name w:val="annotation reference"/>
    <w:basedOn w:val="DefaultParagraphFont"/>
    <w:uiPriority w:val="99"/>
    <w:semiHidden/>
    <w:unhideWhenUsed/>
    <w:rsid w:val="00530686"/>
    <w:rPr>
      <w:sz w:val="16"/>
      <w:szCs w:val="16"/>
    </w:rPr>
  </w:style>
  <w:style w:type="paragraph" w:styleId="CommentText">
    <w:name w:val="annotation text"/>
    <w:basedOn w:val="Normal"/>
    <w:link w:val="CommentTextChar"/>
    <w:uiPriority w:val="99"/>
    <w:semiHidden/>
    <w:unhideWhenUsed/>
    <w:rsid w:val="00530686"/>
    <w:pPr>
      <w:spacing w:line="240" w:lineRule="auto"/>
    </w:pPr>
    <w:rPr>
      <w:sz w:val="20"/>
      <w:szCs w:val="20"/>
    </w:rPr>
  </w:style>
  <w:style w:type="character" w:customStyle="1" w:styleId="CommentTextChar">
    <w:name w:val="Comment Text Char"/>
    <w:basedOn w:val="DefaultParagraphFont"/>
    <w:link w:val="CommentText"/>
    <w:uiPriority w:val="99"/>
    <w:semiHidden/>
    <w:rsid w:val="00530686"/>
    <w:rPr>
      <w:sz w:val="20"/>
      <w:szCs w:val="20"/>
    </w:rPr>
  </w:style>
  <w:style w:type="paragraph" w:styleId="CommentSubject">
    <w:name w:val="annotation subject"/>
    <w:basedOn w:val="CommentText"/>
    <w:next w:val="CommentText"/>
    <w:link w:val="CommentSubjectChar"/>
    <w:uiPriority w:val="99"/>
    <w:semiHidden/>
    <w:unhideWhenUsed/>
    <w:rsid w:val="00530686"/>
    <w:rPr>
      <w:b/>
      <w:bCs/>
    </w:rPr>
  </w:style>
  <w:style w:type="character" w:customStyle="1" w:styleId="CommentSubjectChar">
    <w:name w:val="Comment Subject Char"/>
    <w:basedOn w:val="CommentTextChar"/>
    <w:link w:val="CommentSubject"/>
    <w:uiPriority w:val="99"/>
    <w:semiHidden/>
    <w:rsid w:val="00530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9236">
      <w:bodyDiv w:val="1"/>
      <w:marLeft w:val="0"/>
      <w:marRight w:val="0"/>
      <w:marTop w:val="0"/>
      <w:marBottom w:val="0"/>
      <w:divBdr>
        <w:top w:val="none" w:sz="0" w:space="0" w:color="auto"/>
        <w:left w:val="none" w:sz="0" w:space="0" w:color="auto"/>
        <w:bottom w:val="none" w:sz="0" w:space="0" w:color="auto"/>
        <w:right w:val="none" w:sz="0" w:space="0" w:color="auto"/>
      </w:divBdr>
    </w:div>
    <w:div w:id="636498100">
      <w:bodyDiv w:val="1"/>
      <w:marLeft w:val="0"/>
      <w:marRight w:val="0"/>
      <w:marTop w:val="0"/>
      <w:marBottom w:val="0"/>
      <w:divBdr>
        <w:top w:val="none" w:sz="0" w:space="0" w:color="auto"/>
        <w:left w:val="none" w:sz="0" w:space="0" w:color="auto"/>
        <w:bottom w:val="none" w:sz="0" w:space="0" w:color="auto"/>
        <w:right w:val="none" w:sz="0" w:space="0" w:color="auto"/>
      </w:divBdr>
    </w:div>
    <w:div w:id="707880023">
      <w:bodyDiv w:val="1"/>
      <w:marLeft w:val="0"/>
      <w:marRight w:val="0"/>
      <w:marTop w:val="0"/>
      <w:marBottom w:val="0"/>
      <w:divBdr>
        <w:top w:val="none" w:sz="0" w:space="0" w:color="auto"/>
        <w:left w:val="none" w:sz="0" w:space="0" w:color="auto"/>
        <w:bottom w:val="none" w:sz="0" w:space="0" w:color="auto"/>
        <w:right w:val="none" w:sz="0" w:space="0" w:color="auto"/>
      </w:divBdr>
    </w:div>
    <w:div w:id="1196622391">
      <w:bodyDiv w:val="1"/>
      <w:marLeft w:val="0"/>
      <w:marRight w:val="0"/>
      <w:marTop w:val="0"/>
      <w:marBottom w:val="0"/>
      <w:divBdr>
        <w:top w:val="none" w:sz="0" w:space="0" w:color="auto"/>
        <w:left w:val="none" w:sz="0" w:space="0" w:color="auto"/>
        <w:bottom w:val="none" w:sz="0" w:space="0" w:color="auto"/>
        <w:right w:val="none" w:sz="0" w:space="0" w:color="auto"/>
      </w:divBdr>
    </w:div>
    <w:div w:id="1326007768">
      <w:bodyDiv w:val="1"/>
      <w:marLeft w:val="0"/>
      <w:marRight w:val="0"/>
      <w:marTop w:val="0"/>
      <w:marBottom w:val="0"/>
      <w:divBdr>
        <w:top w:val="none" w:sz="0" w:space="0" w:color="auto"/>
        <w:left w:val="none" w:sz="0" w:space="0" w:color="auto"/>
        <w:bottom w:val="none" w:sz="0" w:space="0" w:color="auto"/>
        <w:right w:val="none" w:sz="0" w:space="0" w:color="auto"/>
      </w:divBdr>
    </w:div>
    <w:div w:id="1790657983">
      <w:bodyDiv w:val="1"/>
      <w:marLeft w:val="0"/>
      <w:marRight w:val="0"/>
      <w:marTop w:val="0"/>
      <w:marBottom w:val="0"/>
      <w:divBdr>
        <w:top w:val="none" w:sz="0" w:space="0" w:color="auto"/>
        <w:left w:val="none" w:sz="0" w:space="0" w:color="auto"/>
        <w:bottom w:val="none" w:sz="0" w:space="0" w:color="auto"/>
        <w:right w:val="none" w:sz="0" w:space="0" w:color="auto"/>
      </w:divBdr>
    </w:div>
    <w:div w:id="1807090273">
      <w:bodyDiv w:val="1"/>
      <w:marLeft w:val="0"/>
      <w:marRight w:val="0"/>
      <w:marTop w:val="0"/>
      <w:marBottom w:val="0"/>
      <w:divBdr>
        <w:top w:val="none" w:sz="0" w:space="0" w:color="auto"/>
        <w:left w:val="none" w:sz="0" w:space="0" w:color="auto"/>
        <w:bottom w:val="none" w:sz="0" w:space="0" w:color="auto"/>
        <w:right w:val="none" w:sz="0" w:space="0" w:color="auto"/>
      </w:divBdr>
    </w:div>
    <w:div w:id="1851486765">
      <w:bodyDiv w:val="1"/>
      <w:marLeft w:val="0"/>
      <w:marRight w:val="0"/>
      <w:marTop w:val="0"/>
      <w:marBottom w:val="0"/>
      <w:divBdr>
        <w:top w:val="none" w:sz="0" w:space="0" w:color="auto"/>
        <w:left w:val="none" w:sz="0" w:space="0" w:color="auto"/>
        <w:bottom w:val="none" w:sz="0" w:space="0" w:color="auto"/>
        <w:right w:val="none" w:sz="0" w:space="0" w:color="auto"/>
      </w:divBdr>
    </w:div>
    <w:div w:id="20258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chart" Target="charts/chart1.xml"/><Relationship Id="rId20" Type="http://schemas.openxmlformats.org/officeDocument/2006/relationships/oleObject" Target="embeddings/oleObject9.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oleObject" Target="embeddings/oleObject6.bin"/><Relationship Id="rId1" Type="http://schemas.openxmlformats.org/officeDocument/2006/relationships/image" Target="media/image5.wmf"/><Relationship Id="rId4" Type="http://schemas.openxmlformats.org/officeDocument/2006/relationships/oleObject" Target="embeddings/oleObject7.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clewis\Documents\2016%20Psychometric%20Society\T%20&amp;%20L%20cit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6510666297426188"/>
          <c:y val="6.4814758014770324E-2"/>
          <c:w val="0.71155468066491701"/>
          <c:h val="0.67316272965879365"/>
        </c:manualLayout>
      </c:layout>
      <c:barChart>
        <c:barDir val="col"/>
        <c:grouping val="stacked"/>
        <c:varyColors val="0"/>
        <c:ser>
          <c:idx val="0"/>
          <c:order val="0"/>
          <c:invertIfNegative val="0"/>
          <c:cat>
            <c:strRef>
              <c:f>Sheet1!$A$2:$A$10</c:f>
              <c:strCache>
                <c:ptCount val="9"/>
                <c:pt idx="0">
                  <c:v>1971-1975</c:v>
                </c:pt>
                <c:pt idx="1">
                  <c:v>1976-1980</c:v>
                </c:pt>
                <c:pt idx="2">
                  <c:v>1981-1985</c:v>
                </c:pt>
                <c:pt idx="3">
                  <c:v>1986-1990</c:v>
                </c:pt>
                <c:pt idx="4">
                  <c:v>1991-1995</c:v>
                </c:pt>
                <c:pt idx="5">
                  <c:v>1996-2000</c:v>
                </c:pt>
                <c:pt idx="6">
                  <c:v>2001-2005</c:v>
                </c:pt>
                <c:pt idx="7">
                  <c:v>2006-2010</c:v>
                </c:pt>
                <c:pt idx="8">
                  <c:v>2011-2015</c:v>
                </c:pt>
              </c:strCache>
            </c:strRef>
          </c:cat>
          <c:val>
            <c:numRef>
              <c:f>Sheet1!$B$2:$B$10</c:f>
              <c:numCache>
                <c:formatCode>General</c:formatCode>
                <c:ptCount val="9"/>
                <c:pt idx="0">
                  <c:v>5</c:v>
                </c:pt>
                <c:pt idx="1">
                  <c:v>26</c:v>
                </c:pt>
                <c:pt idx="2">
                  <c:v>56</c:v>
                </c:pt>
                <c:pt idx="3">
                  <c:v>87</c:v>
                </c:pt>
                <c:pt idx="4">
                  <c:v>222</c:v>
                </c:pt>
                <c:pt idx="5">
                  <c:v>303</c:v>
                </c:pt>
                <c:pt idx="6">
                  <c:v>489</c:v>
                </c:pt>
                <c:pt idx="7" formatCode="#,##0">
                  <c:v>941</c:v>
                </c:pt>
                <c:pt idx="8" formatCode="#,##0">
                  <c:v>1703</c:v>
                </c:pt>
              </c:numCache>
            </c:numRef>
          </c:val>
        </c:ser>
        <c:dLbls>
          <c:showLegendKey val="0"/>
          <c:showVal val="0"/>
          <c:showCatName val="0"/>
          <c:showSerName val="0"/>
          <c:showPercent val="0"/>
          <c:showBubbleSize val="0"/>
        </c:dLbls>
        <c:gapWidth val="150"/>
        <c:overlap val="100"/>
        <c:axId val="33611776"/>
        <c:axId val="58152000"/>
      </c:barChart>
      <c:catAx>
        <c:axId val="33611776"/>
        <c:scaling>
          <c:orientation val="minMax"/>
        </c:scaling>
        <c:delete val="0"/>
        <c:axPos val="b"/>
        <c:title>
          <c:tx>
            <c:rich>
              <a:bodyPr/>
              <a:lstStyle/>
              <a:p>
                <a:pPr>
                  <a:defRPr/>
                </a:pPr>
                <a:r>
                  <a:rPr lang="en-US"/>
                  <a:t>Years</a:t>
                </a:r>
              </a:p>
            </c:rich>
          </c:tx>
          <c:overlay val="0"/>
        </c:title>
        <c:majorTickMark val="out"/>
        <c:minorTickMark val="none"/>
        <c:tickLblPos val="nextTo"/>
        <c:crossAx val="58152000"/>
        <c:crosses val="autoZero"/>
        <c:auto val="1"/>
        <c:lblAlgn val="ctr"/>
        <c:lblOffset val="100"/>
        <c:noMultiLvlLbl val="0"/>
      </c:catAx>
      <c:valAx>
        <c:axId val="58152000"/>
        <c:scaling>
          <c:orientation val="minMax"/>
        </c:scaling>
        <c:delete val="0"/>
        <c:axPos val="l"/>
        <c:title>
          <c:tx>
            <c:rich>
              <a:bodyPr rot="-5400000" vert="horz"/>
              <a:lstStyle/>
              <a:p>
                <a:pPr>
                  <a:defRPr/>
                </a:pPr>
                <a:r>
                  <a:rPr lang="en-US"/>
                  <a:t>Number of Citations</a:t>
                </a:r>
              </a:p>
            </c:rich>
          </c:tx>
          <c:layout>
            <c:manualLayout>
              <c:xMode val="edge"/>
              <c:yMode val="edge"/>
              <c:x val="4.3620636760676186E-2"/>
              <c:y val="0.20684497336645921"/>
            </c:manualLayout>
          </c:layout>
          <c:overlay val="0"/>
        </c:title>
        <c:numFmt formatCode="General" sourceLinked="1"/>
        <c:majorTickMark val="out"/>
        <c:minorTickMark val="none"/>
        <c:tickLblPos val="nextTo"/>
        <c:crossAx val="33611776"/>
        <c:crosses val="autoZero"/>
        <c:crossBetween val="between"/>
      </c:valAx>
      <c:spPr>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73F98-6C6E-4129-8F5E-1D744F83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SOE Manager</dc:creator>
  <cp:lastModifiedBy>Larry Hubert</cp:lastModifiedBy>
  <cp:revision>2</cp:revision>
  <cp:lastPrinted>2016-06-21T16:31:00Z</cp:lastPrinted>
  <dcterms:created xsi:type="dcterms:W3CDTF">2016-06-21T16:31:00Z</dcterms:created>
  <dcterms:modified xsi:type="dcterms:W3CDTF">2016-06-21T16:31:00Z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